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078D" w14:textId="77777777" w:rsidR="00891FB8" w:rsidRDefault="00891FB8" w:rsidP="005B5DBD">
      <w:pPr>
        <w:rPr>
          <w:rFonts w:ascii="Arial" w:hAnsi="Arial" w:cs="Arial"/>
          <w:b/>
          <w:sz w:val="28"/>
          <w:szCs w:val="28"/>
        </w:rPr>
      </w:pPr>
      <w:bookmarkStart w:id="1" w:name="_GoBack"/>
      <w:bookmarkEnd w:id="1"/>
    </w:p>
    <w:p w14:paraId="5DE29665" w14:textId="492BB232" w:rsidR="00A032AA" w:rsidRDefault="00DE5199" w:rsidP="005B5DBD">
      <w:pPr>
        <w:rPr>
          <w:rFonts w:ascii="Arial" w:hAnsi="Arial" w:cs="Arial"/>
          <w:b/>
          <w:sz w:val="28"/>
          <w:szCs w:val="28"/>
        </w:rPr>
      </w:pPr>
      <w:r>
        <w:rPr>
          <w:rFonts w:ascii="Arial" w:hAnsi="Arial" w:cs="Arial"/>
          <w:b/>
          <w:sz w:val="28"/>
          <w:szCs w:val="28"/>
        </w:rPr>
        <w:t>January 2022</w:t>
      </w:r>
    </w:p>
    <w:p w14:paraId="72CA7891" w14:textId="77777777" w:rsidR="00891FB8" w:rsidRDefault="00891FB8" w:rsidP="005B5DBD">
      <w:pPr>
        <w:rPr>
          <w:rFonts w:ascii="Arial" w:hAnsi="Arial" w:cs="Arial"/>
          <w:b/>
          <w:sz w:val="28"/>
          <w:szCs w:val="28"/>
        </w:rPr>
      </w:pPr>
    </w:p>
    <w:p w14:paraId="21792DE1" w14:textId="7B0E6876" w:rsidR="005B35C8" w:rsidRPr="005B5DBD" w:rsidRDefault="007243CC" w:rsidP="005B5DBD">
      <w:pPr>
        <w:rPr>
          <w:rFonts w:ascii="Arial" w:hAnsi="Arial" w:cs="Arial"/>
          <w:b/>
          <w:sz w:val="28"/>
          <w:szCs w:val="28"/>
        </w:rPr>
      </w:pPr>
      <w:r w:rsidRPr="005B5DBD">
        <w:rPr>
          <w:rFonts w:ascii="Arial" w:hAnsi="Arial" w:cs="Arial"/>
          <w:b/>
          <w:sz w:val="28"/>
          <w:szCs w:val="28"/>
        </w:rPr>
        <w:t xml:space="preserve">Routine Commissioning for </w:t>
      </w:r>
      <w:r w:rsidR="00930E1E" w:rsidRPr="00D75DC0">
        <w:rPr>
          <w:rFonts w:ascii="Arial" w:hAnsi="Arial" w:cs="Arial"/>
          <w:b/>
          <w:sz w:val="28"/>
          <w:szCs w:val="28"/>
        </w:rPr>
        <w:t>Post</w:t>
      </w:r>
      <w:r w:rsidR="008D0F5C" w:rsidRPr="00D75DC0">
        <w:rPr>
          <w:rFonts w:ascii="Arial" w:hAnsi="Arial" w:cs="Arial"/>
          <w:b/>
          <w:sz w:val="28"/>
          <w:szCs w:val="28"/>
        </w:rPr>
        <w:t>-</w:t>
      </w:r>
      <w:r w:rsidR="008D0F5C" w:rsidRPr="005B5DBD">
        <w:rPr>
          <w:rFonts w:ascii="Arial" w:hAnsi="Arial" w:cs="Arial"/>
          <w:b/>
          <w:sz w:val="28"/>
          <w:szCs w:val="28"/>
        </w:rPr>
        <w:t>Exposure Prophylaxis (PEP</w:t>
      </w:r>
      <w:r w:rsidR="00930E1E">
        <w:rPr>
          <w:rFonts w:ascii="Arial" w:hAnsi="Arial" w:cs="Arial"/>
          <w:b/>
          <w:sz w:val="28"/>
          <w:szCs w:val="28"/>
        </w:rPr>
        <w:t>/PEPSE</w:t>
      </w:r>
      <w:r w:rsidR="008D0F5C" w:rsidRPr="005B5DBD">
        <w:rPr>
          <w:rFonts w:ascii="Arial" w:hAnsi="Arial" w:cs="Arial"/>
          <w:b/>
          <w:sz w:val="28"/>
          <w:szCs w:val="28"/>
        </w:rPr>
        <w:t>)</w:t>
      </w:r>
      <w:r w:rsidR="00AA54A5">
        <w:rPr>
          <w:rFonts w:ascii="Arial" w:hAnsi="Arial" w:cs="Arial"/>
          <w:b/>
          <w:sz w:val="28"/>
          <w:szCs w:val="28"/>
        </w:rPr>
        <w:t xml:space="preserve"> standard 30-day Packs</w:t>
      </w:r>
      <w:r w:rsidR="004145D2" w:rsidRPr="005B5DBD">
        <w:rPr>
          <w:rFonts w:ascii="Arial" w:hAnsi="Arial" w:cs="Arial"/>
          <w:b/>
          <w:sz w:val="28"/>
          <w:szCs w:val="28"/>
        </w:rPr>
        <w:t xml:space="preserve"> </w:t>
      </w:r>
    </w:p>
    <w:p w14:paraId="7D18E7A4" w14:textId="77777777" w:rsidR="005B5DBD" w:rsidRPr="00AA54A5" w:rsidRDefault="005B5DBD" w:rsidP="005B5DBD">
      <w:pPr>
        <w:spacing w:after="0"/>
        <w:rPr>
          <w:rFonts w:ascii="Arial" w:hAnsi="Arial" w:cs="Arial"/>
          <w:b/>
          <w:sz w:val="12"/>
          <w:szCs w:val="12"/>
        </w:rPr>
      </w:pPr>
    </w:p>
    <w:p w14:paraId="05C444EF" w14:textId="4443EE47" w:rsidR="008E4B11" w:rsidRPr="005B5DBD" w:rsidRDefault="008D0F5C" w:rsidP="005B5DBD">
      <w:pPr>
        <w:rPr>
          <w:rFonts w:ascii="Arial" w:hAnsi="Arial" w:cs="Arial"/>
          <w:b/>
          <w:sz w:val="28"/>
          <w:szCs w:val="28"/>
        </w:rPr>
      </w:pPr>
      <w:r w:rsidRPr="005B5DBD">
        <w:rPr>
          <w:rFonts w:ascii="Arial" w:hAnsi="Arial" w:cs="Arial"/>
          <w:b/>
          <w:sz w:val="28"/>
          <w:szCs w:val="28"/>
        </w:rPr>
        <w:t>Frequently Asked Questions</w:t>
      </w:r>
    </w:p>
    <w:p w14:paraId="1F72A262" w14:textId="77777777" w:rsidR="00836AFA" w:rsidRPr="005B5DBD" w:rsidRDefault="00836AFA" w:rsidP="00DB12C4">
      <w:pPr>
        <w:jc w:val="center"/>
        <w:rPr>
          <w:rFonts w:ascii="Arial" w:hAnsi="Arial" w:cs="Arial"/>
          <w:b/>
          <w:sz w:val="8"/>
          <w:szCs w:val="8"/>
          <w:u w:val="single"/>
        </w:rPr>
      </w:pPr>
    </w:p>
    <w:p w14:paraId="7E307E0C" w14:textId="413DFD86" w:rsidR="00D22C0D" w:rsidRPr="005A06AA" w:rsidRDefault="005B35C8" w:rsidP="005B5DBD">
      <w:pPr>
        <w:pStyle w:val="ListParagraph"/>
        <w:numPr>
          <w:ilvl w:val="0"/>
          <w:numId w:val="43"/>
        </w:numPr>
        <w:spacing w:after="0" w:line="240" w:lineRule="auto"/>
        <w:ind w:left="426" w:hanging="426"/>
        <w:jc w:val="both"/>
        <w:rPr>
          <w:rFonts w:ascii="Arial" w:hAnsi="Arial" w:cs="Arial"/>
          <w:b/>
          <w:sz w:val="24"/>
          <w:szCs w:val="24"/>
        </w:rPr>
      </w:pPr>
      <w:r w:rsidRPr="005A06AA">
        <w:rPr>
          <w:rFonts w:ascii="Arial" w:hAnsi="Arial" w:cs="Arial"/>
          <w:b/>
          <w:sz w:val="24"/>
          <w:szCs w:val="24"/>
        </w:rPr>
        <w:t xml:space="preserve">What are the reasons for </w:t>
      </w:r>
      <w:r w:rsidR="00D22C0D" w:rsidRPr="005A06AA">
        <w:rPr>
          <w:rFonts w:ascii="Arial" w:hAnsi="Arial" w:cs="Arial"/>
          <w:b/>
          <w:sz w:val="24"/>
          <w:szCs w:val="24"/>
        </w:rPr>
        <w:t xml:space="preserve">changing to </w:t>
      </w:r>
      <w:r w:rsidRPr="005A06AA">
        <w:rPr>
          <w:rFonts w:ascii="Arial" w:hAnsi="Arial" w:cs="Arial"/>
          <w:b/>
          <w:sz w:val="24"/>
          <w:szCs w:val="24"/>
        </w:rPr>
        <w:t>a 30-day</w:t>
      </w:r>
      <w:r w:rsidR="00063A22">
        <w:rPr>
          <w:rFonts w:ascii="Arial" w:hAnsi="Arial" w:cs="Arial"/>
          <w:b/>
          <w:sz w:val="24"/>
          <w:szCs w:val="24"/>
        </w:rPr>
        <w:t xml:space="preserve"> standard</w:t>
      </w:r>
      <w:r w:rsidRPr="005A06AA">
        <w:rPr>
          <w:rFonts w:ascii="Arial" w:hAnsi="Arial" w:cs="Arial"/>
          <w:b/>
          <w:sz w:val="24"/>
          <w:szCs w:val="24"/>
        </w:rPr>
        <w:t xml:space="preserve"> PEP pack?</w:t>
      </w:r>
    </w:p>
    <w:p w14:paraId="16C1579E" w14:textId="77777777" w:rsidR="005A06AA" w:rsidRPr="005A06AA" w:rsidRDefault="005A06AA" w:rsidP="005B5DBD">
      <w:pPr>
        <w:pStyle w:val="ListParagraph"/>
        <w:spacing w:after="0" w:line="240" w:lineRule="auto"/>
        <w:ind w:left="284"/>
        <w:jc w:val="both"/>
        <w:rPr>
          <w:rFonts w:ascii="Arial" w:hAnsi="Arial" w:cs="Arial"/>
          <w:b/>
          <w:sz w:val="24"/>
          <w:szCs w:val="24"/>
        </w:rPr>
      </w:pPr>
    </w:p>
    <w:p w14:paraId="4FEE79E1" w14:textId="193F90A0" w:rsidR="00F82234" w:rsidRDefault="00F82234" w:rsidP="005B5DBD">
      <w:pPr>
        <w:spacing w:after="0" w:line="240" w:lineRule="auto"/>
        <w:ind w:firstLine="426"/>
        <w:jc w:val="both"/>
        <w:rPr>
          <w:rFonts w:ascii="Arial" w:hAnsi="Arial" w:cs="Arial"/>
          <w:bCs/>
          <w:sz w:val="24"/>
          <w:szCs w:val="24"/>
        </w:rPr>
      </w:pPr>
      <w:r w:rsidRPr="005A06AA">
        <w:rPr>
          <w:rFonts w:ascii="Arial" w:hAnsi="Arial" w:cs="Arial"/>
          <w:bCs/>
          <w:sz w:val="24"/>
          <w:szCs w:val="24"/>
        </w:rPr>
        <w:t xml:space="preserve">There are 3 reasons for making this change: </w:t>
      </w:r>
    </w:p>
    <w:p w14:paraId="31E09DB6" w14:textId="77777777" w:rsidR="005A06AA" w:rsidRPr="005A06AA" w:rsidRDefault="005A06AA" w:rsidP="005B5DBD">
      <w:pPr>
        <w:spacing w:after="0" w:line="240" w:lineRule="auto"/>
        <w:jc w:val="both"/>
        <w:rPr>
          <w:rFonts w:ascii="Arial" w:hAnsi="Arial" w:cs="Arial"/>
          <w:bCs/>
          <w:sz w:val="24"/>
          <w:szCs w:val="24"/>
        </w:rPr>
      </w:pPr>
    </w:p>
    <w:p w14:paraId="11EBBF31" w14:textId="2986081D" w:rsidR="00D22C0D" w:rsidRDefault="00F82234" w:rsidP="005B5DBD">
      <w:pPr>
        <w:pStyle w:val="ListParagraph"/>
        <w:numPr>
          <w:ilvl w:val="0"/>
          <w:numId w:val="42"/>
        </w:numPr>
        <w:spacing w:after="0" w:line="240" w:lineRule="auto"/>
        <w:ind w:left="851"/>
        <w:jc w:val="both"/>
        <w:rPr>
          <w:rFonts w:ascii="Arial" w:hAnsi="Arial" w:cs="Arial"/>
          <w:bCs/>
          <w:sz w:val="24"/>
          <w:szCs w:val="24"/>
        </w:rPr>
      </w:pPr>
      <w:r w:rsidRPr="005A06AA">
        <w:rPr>
          <w:rFonts w:ascii="Arial" w:hAnsi="Arial" w:cs="Arial"/>
          <w:bCs/>
          <w:sz w:val="24"/>
          <w:szCs w:val="24"/>
        </w:rPr>
        <w:t>There is evidence</w:t>
      </w:r>
      <w:r w:rsidR="00FB7E64">
        <w:rPr>
          <w:rFonts w:ascii="Arial" w:hAnsi="Arial" w:cs="Arial"/>
          <w:bCs/>
          <w:sz w:val="24"/>
          <w:szCs w:val="24"/>
        </w:rPr>
        <w:t xml:space="preserve"> PEP course completion rates are lower when </w:t>
      </w:r>
      <w:r w:rsidRPr="005A06AA">
        <w:rPr>
          <w:rFonts w:ascii="Arial" w:hAnsi="Arial" w:cs="Arial"/>
          <w:bCs/>
          <w:sz w:val="24"/>
          <w:szCs w:val="24"/>
        </w:rPr>
        <w:t xml:space="preserve">using starter packs as the individual needs to be motivated to reattend to collect the rest of the medication. </w:t>
      </w:r>
      <w:r w:rsidR="00FB7E64">
        <w:rPr>
          <w:rFonts w:ascii="Arial" w:hAnsi="Arial" w:cs="Arial"/>
          <w:bCs/>
          <w:sz w:val="24"/>
          <w:szCs w:val="24"/>
        </w:rPr>
        <w:t>We</w:t>
      </w:r>
      <w:r w:rsidR="00FB7E64" w:rsidRPr="005A06AA">
        <w:rPr>
          <w:rFonts w:ascii="Arial" w:hAnsi="Arial" w:cs="Arial"/>
          <w:bCs/>
          <w:sz w:val="24"/>
          <w:szCs w:val="24"/>
        </w:rPr>
        <w:t xml:space="preserve"> </w:t>
      </w:r>
      <w:r w:rsidRPr="005A06AA">
        <w:rPr>
          <w:rFonts w:ascii="Arial" w:hAnsi="Arial" w:cs="Arial"/>
          <w:bCs/>
          <w:sz w:val="24"/>
          <w:szCs w:val="24"/>
        </w:rPr>
        <w:t xml:space="preserve">therefore </w:t>
      </w:r>
      <w:r w:rsidR="00FB7E64">
        <w:rPr>
          <w:rFonts w:ascii="Arial" w:hAnsi="Arial" w:cs="Arial"/>
          <w:bCs/>
          <w:sz w:val="24"/>
          <w:szCs w:val="24"/>
        </w:rPr>
        <w:t>recommend</w:t>
      </w:r>
      <w:r w:rsidR="00D75DC0">
        <w:rPr>
          <w:rFonts w:ascii="Arial" w:hAnsi="Arial" w:cs="Arial"/>
          <w:bCs/>
          <w:sz w:val="24"/>
          <w:szCs w:val="24"/>
        </w:rPr>
        <w:t xml:space="preserve"> provision</w:t>
      </w:r>
      <w:r w:rsidR="00FB7E64">
        <w:rPr>
          <w:rFonts w:ascii="Arial" w:hAnsi="Arial" w:cs="Arial"/>
          <w:bCs/>
          <w:sz w:val="24"/>
          <w:szCs w:val="24"/>
        </w:rPr>
        <w:t xml:space="preserve"> of </w:t>
      </w:r>
      <w:r w:rsidRPr="005A06AA">
        <w:rPr>
          <w:rFonts w:ascii="Arial" w:hAnsi="Arial" w:cs="Arial"/>
          <w:bCs/>
          <w:sz w:val="24"/>
          <w:szCs w:val="24"/>
        </w:rPr>
        <w:t xml:space="preserve">the </w:t>
      </w:r>
      <w:r w:rsidR="00454ADB">
        <w:rPr>
          <w:rFonts w:ascii="Arial" w:hAnsi="Arial" w:cs="Arial"/>
          <w:bCs/>
          <w:sz w:val="24"/>
          <w:szCs w:val="24"/>
        </w:rPr>
        <w:t xml:space="preserve">full 30-day </w:t>
      </w:r>
      <w:r w:rsidRPr="005A06AA">
        <w:rPr>
          <w:rFonts w:ascii="Arial" w:hAnsi="Arial" w:cs="Arial"/>
          <w:bCs/>
          <w:sz w:val="24"/>
          <w:szCs w:val="24"/>
        </w:rPr>
        <w:t xml:space="preserve">course at the first attendance, even if some </w:t>
      </w:r>
      <w:r w:rsidR="00FB7E64">
        <w:rPr>
          <w:rFonts w:ascii="Arial" w:hAnsi="Arial" w:cs="Arial"/>
          <w:bCs/>
          <w:sz w:val="24"/>
          <w:szCs w:val="24"/>
        </w:rPr>
        <w:t xml:space="preserve">subsequently </w:t>
      </w:r>
      <w:r w:rsidRPr="005A06AA">
        <w:rPr>
          <w:rFonts w:ascii="Arial" w:hAnsi="Arial" w:cs="Arial"/>
          <w:bCs/>
          <w:sz w:val="24"/>
          <w:szCs w:val="24"/>
        </w:rPr>
        <w:t xml:space="preserve">stop PEP </w:t>
      </w:r>
      <w:r w:rsidR="00FB7E64">
        <w:rPr>
          <w:rFonts w:ascii="Arial" w:hAnsi="Arial" w:cs="Arial"/>
          <w:bCs/>
          <w:sz w:val="24"/>
          <w:szCs w:val="24"/>
        </w:rPr>
        <w:t>after repeat</w:t>
      </w:r>
      <w:r w:rsidRPr="005A06AA">
        <w:rPr>
          <w:rFonts w:ascii="Arial" w:hAnsi="Arial" w:cs="Arial"/>
          <w:bCs/>
          <w:sz w:val="24"/>
          <w:szCs w:val="24"/>
        </w:rPr>
        <w:t xml:space="preserve"> risk </w:t>
      </w:r>
      <w:r w:rsidR="00FB7E64">
        <w:rPr>
          <w:rFonts w:ascii="Arial" w:hAnsi="Arial" w:cs="Arial"/>
          <w:bCs/>
          <w:sz w:val="24"/>
          <w:szCs w:val="24"/>
        </w:rPr>
        <w:t>assessment</w:t>
      </w:r>
      <w:r w:rsidRPr="005A06AA">
        <w:rPr>
          <w:rFonts w:ascii="Arial" w:hAnsi="Arial" w:cs="Arial"/>
          <w:bCs/>
          <w:sz w:val="24"/>
          <w:szCs w:val="24"/>
        </w:rPr>
        <w:t xml:space="preserve">. </w:t>
      </w:r>
    </w:p>
    <w:p w14:paraId="74770491" w14:textId="77777777" w:rsidR="005A06AA" w:rsidRPr="005A06AA" w:rsidRDefault="005A06AA" w:rsidP="005B5DBD">
      <w:pPr>
        <w:pStyle w:val="ListParagraph"/>
        <w:spacing w:after="0" w:line="240" w:lineRule="auto"/>
        <w:ind w:left="851"/>
        <w:jc w:val="both"/>
        <w:rPr>
          <w:rFonts w:ascii="Arial" w:hAnsi="Arial" w:cs="Arial"/>
          <w:bCs/>
          <w:sz w:val="24"/>
          <w:szCs w:val="24"/>
        </w:rPr>
      </w:pPr>
    </w:p>
    <w:p w14:paraId="6C66394B" w14:textId="28C8B669" w:rsidR="00F82234" w:rsidRDefault="00F82234" w:rsidP="005B5DBD">
      <w:pPr>
        <w:pStyle w:val="ListParagraph"/>
        <w:numPr>
          <w:ilvl w:val="0"/>
          <w:numId w:val="42"/>
        </w:numPr>
        <w:spacing w:after="0" w:line="240" w:lineRule="auto"/>
        <w:ind w:left="851"/>
        <w:jc w:val="both"/>
        <w:rPr>
          <w:rFonts w:ascii="Arial" w:hAnsi="Arial" w:cs="Arial"/>
          <w:bCs/>
          <w:sz w:val="24"/>
          <w:szCs w:val="24"/>
        </w:rPr>
      </w:pPr>
      <w:r w:rsidRPr="005A06AA">
        <w:rPr>
          <w:rFonts w:ascii="Arial" w:hAnsi="Arial" w:cs="Arial"/>
          <w:bCs/>
          <w:sz w:val="24"/>
          <w:szCs w:val="24"/>
        </w:rPr>
        <w:t xml:space="preserve">The procurement process of </w:t>
      </w:r>
      <w:r w:rsidR="005A06AA" w:rsidRPr="005A06AA">
        <w:rPr>
          <w:rFonts w:ascii="Arial" w:hAnsi="Arial" w:cs="Arial"/>
          <w:bCs/>
          <w:sz w:val="24"/>
          <w:szCs w:val="24"/>
        </w:rPr>
        <w:t>30-day</w:t>
      </w:r>
      <w:r w:rsidRPr="005A06AA">
        <w:rPr>
          <w:rFonts w:ascii="Arial" w:hAnsi="Arial" w:cs="Arial"/>
          <w:bCs/>
          <w:sz w:val="24"/>
          <w:szCs w:val="24"/>
        </w:rPr>
        <w:t xml:space="preserve"> packs is more streamlined and cost-efficient so will result in cost savings for the NHS. </w:t>
      </w:r>
    </w:p>
    <w:p w14:paraId="55F4AA9B" w14:textId="77777777" w:rsidR="005A06AA" w:rsidRPr="005A06AA" w:rsidRDefault="005A06AA" w:rsidP="005B5DBD">
      <w:pPr>
        <w:pStyle w:val="ListParagraph"/>
        <w:ind w:left="851"/>
        <w:jc w:val="both"/>
        <w:rPr>
          <w:rFonts w:ascii="Arial" w:hAnsi="Arial" w:cs="Arial"/>
          <w:bCs/>
          <w:sz w:val="24"/>
          <w:szCs w:val="24"/>
        </w:rPr>
      </w:pPr>
    </w:p>
    <w:p w14:paraId="7315AB0D" w14:textId="57B1BF52" w:rsidR="00F82234" w:rsidRPr="005A06AA" w:rsidRDefault="008B0373" w:rsidP="005B5DBD">
      <w:pPr>
        <w:pStyle w:val="ListParagraph"/>
        <w:numPr>
          <w:ilvl w:val="0"/>
          <w:numId w:val="42"/>
        </w:numPr>
        <w:spacing w:after="0" w:line="240" w:lineRule="auto"/>
        <w:ind w:left="851"/>
        <w:jc w:val="both"/>
        <w:rPr>
          <w:rFonts w:ascii="Arial" w:hAnsi="Arial" w:cs="Arial"/>
          <w:bCs/>
          <w:sz w:val="24"/>
          <w:szCs w:val="24"/>
        </w:rPr>
      </w:pPr>
      <w:r w:rsidRPr="005A06AA">
        <w:rPr>
          <w:rFonts w:ascii="Arial" w:hAnsi="Arial" w:cs="Arial"/>
          <w:bCs/>
          <w:sz w:val="24"/>
          <w:szCs w:val="24"/>
        </w:rPr>
        <w:t>The manufacturer of r</w:t>
      </w:r>
      <w:r w:rsidR="00F82234" w:rsidRPr="005A06AA">
        <w:rPr>
          <w:rFonts w:ascii="Arial" w:hAnsi="Arial" w:cs="Arial"/>
          <w:bCs/>
          <w:sz w:val="24"/>
          <w:szCs w:val="24"/>
        </w:rPr>
        <w:t xml:space="preserve">altegravir 600mg tablets </w:t>
      </w:r>
      <w:r w:rsidRPr="005A06AA">
        <w:rPr>
          <w:rFonts w:ascii="Arial" w:hAnsi="Arial" w:cs="Arial"/>
          <w:bCs/>
          <w:sz w:val="24"/>
          <w:szCs w:val="24"/>
        </w:rPr>
        <w:t xml:space="preserve">does not support </w:t>
      </w:r>
      <w:r w:rsidR="00DE5199">
        <w:rPr>
          <w:rFonts w:ascii="Arial" w:hAnsi="Arial" w:cs="Arial"/>
          <w:bCs/>
          <w:sz w:val="24"/>
          <w:szCs w:val="24"/>
        </w:rPr>
        <w:t>the product</w:t>
      </w:r>
      <w:r w:rsidRPr="005A06AA">
        <w:rPr>
          <w:rFonts w:ascii="Arial" w:hAnsi="Arial" w:cs="Arial"/>
          <w:bCs/>
          <w:sz w:val="24"/>
          <w:szCs w:val="24"/>
        </w:rPr>
        <w:t xml:space="preserve"> being </w:t>
      </w:r>
      <w:r w:rsidR="00FB7E64">
        <w:rPr>
          <w:rFonts w:ascii="Arial" w:hAnsi="Arial" w:cs="Arial"/>
          <w:bCs/>
          <w:sz w:val="24"/>
          <w:szCs w:val="24"/>
        </w:rPr>
        <w:t>put</w:t>
      </w:r>
      <w:r w:rsidRPr="005A06AA">
        <w:rPr>
          <w:rFonts w:ascii="Arial" w:hAnsi="Arial" w:cs="Arial"/>
          <w:bCs/>
          <w:sz w:val="24"/>
          <w:szCs w:val="24"/>
        </w:rPr>
        <w:t xml:space="preserve"> into starter packs due to a lack of stability data once they are removed from their original packaging. </w:t>
      </w:r>
    </w:p>
    <w:p w14:paraId="46FAF3DE" w14:textId="35934C88" w:rsidR="00D22C0D" w:rsidRPr="005A06AA" w:rsidRDefault="00DE5199" w:rsidP="00DE5199">
      <w:pPr>
        <w:tabs>
          <w:tab w:val="left" w:pos="4052"/>
        </w:tabs>
        <w:spacing w:after="0" w:line="240" w:lineRule="auto"/>
        <w:jc w:val="both"/>
        <w:rPr>
          <w:rFonts w:ascii="Arial" w:hAnsi="Arial" w:cs="Arial"/>
          <w:bCs/>
          <w:color w:val="5B9BD5" w:themeColor="accent5"/>
          <w:sz w:val="24"/>
          <w:szCs w:val="24"/>
        </w:rPr>
      </w:pPr>
      <w:r>
        <w:rPr>
          <w:rFonts w:ascii="Arial" w:hAnsi="Arial" w:cs="Arial"/>
          <w:bCs/>
          <w:color w:val="5B9BD5" w:themeColor="accent5"/>
          <w:sz w:val="24"/>
          <w:szCs w:val="24"/>
        </w:rPr>
        <w:tab/>
      </w:r>
    </w:p>
    <w:p w14:paraId="3C164F21" w14:textId="577F0A41" w:rsidR="00523FA6" w:rsidRDefault="005A06AA" w:rsidP="005B5DBD">
      <w:pPr>
        <w:spacing w:after="0" w:line="240" w:lineRule="auto"/>
        <w:ind w:left="426" w:hanging="426"/>
        <w:jc w:val="both"/>
        <w:rPr>
          <w:rFonts w:ascii="Arial" w:hAnsi="Arial" w:cs="Arial"/>
          <w:b/>
          <w:sz w:val="24"/>
          <w:szCs w:val="24"/>
        </w:rPr>
      </w:pPr>
      <w:r>
        <w:rPr>
          <w:rFonts w:ascii="Arial" w:hAnsi="Arial" w:cs="Arial"/>
          <w:b/>
          <w:sz w:val="24"/>
          <w:szCs w:val="24"/>
        </w:rPr>
        <w:t>2.</w:t>
      </w:r>
      <w:r w:rsidR="00523FA6" w:rsidRPr="005A06AA">
        <w:rPr>
          <w:rFonts w:ascii="Arial" w:hAnsi="Arial" w:cs="Arial"/>
          <w:b/>
          <w:sz w:val="24"/>
          <w:szCs w:val="24"/>
        </w:rPr>
        <w:t xml:space="preserve"> </w:t>
      </w:r>
      <w:r w:rsidR="00556797">
        <w:rPr>
          <w:rFonts w:ascii="Arial" w:hAnsi="Arial" w:cs="Arial"/>
          <w:b/>
          <w:sz w:val="24"/>
          <w:szCs w:val="24"/>
        </w:rPr>
        <w:tab/>
      </w:r>
      <w:r w:rsidR="00523FA6" w:rsidRPr="005A06AA">
        <w:rPr>
          <w:rFonts w:ascii="Arial" w:hAnsi="Arial" w:cs="Arial"/>
          <w:b/>
          <w:sz w:val="24"/>
          <w:szCs w:val="24"/>
        </w:rPr>
        <w:t>Where can we find the new guidelines?</w:t>
      </w:r>
    </w:p>
    <w:p w14:paraId="3F2BE5F0" w14:textId="77777777" w:rsidR="005A06AA" w:rsidRPr="005A06AA" w:rsidRDefault="005A06AA" w:rsidP="005B5DBD">
      <w:pPr>
        <w:spacing w:after="0" w:line="240" w:lineRule="auto"/>
        <w:jc w:val="both"/>
        <w:rPr>
          <w:rFonts w:ascii="Arial" w:hAnsi="Arial" w:cs="Arial"/>
          <w:b/>
          <w:sz w:val="24"/>
          <w:szCs w:val="24"/>
        </w:rPr>
      </w:pPr>
    </w:p>
    <w:p w14:paraId="1B19B78A" w14:textId="5D15DF87" w:rsidR="008B0373" w:rsidRPr="005A06AA" w:rsidRDefault="005A06AA" w:rsidP="005B5DBD">
      <w:pPr>
        <w:spacing w:after="0" w:line="240" w:lineRule="auto"/>
        <w:jc w:val="both"/>
        <w:rPr>
          <w:rFonts w:ascii="Arial" w:hAnsi="Arial" w:cs="Arial"/>
          <w:bCs/>
          <w:sz w:val="24"/>
          <w:szCs w:val="24"/>
        </w:rPr>
      </w:pPr>
      <w:r>
        <w:rPr>
          <w:rFonts w:ascii="Arial" w:hAnsi="Arial" w:cs="Arial"/>
          <w:b/>
          <w:sz w:val="24"/>
          <w:szCs w:val="24"/>
        </w:rPr>
        <w:t xml:space="preserve">    </w:t>
      </w:r>
      <w:r w:rsidR="00556797">
        <w:rPr>
          <w:rFonts w:ascii="Arial" w:hAnsi="Arial" w:cs="Arial"/>
          <w:b/>
          <w:sz w:val="24"/>
          <w:szCs w:val="24"/>
        </w:rPr>
        <w:t xml:space="preserve">  </w:t>
      </w:r>
      <w:r w:rsidR="005B5DBD">
        <w:rPr>
          <w:rFonts w:ascii="Arial" w:hAnsi="Arial" w:cs="Arial"/>
          <w:b/>
          <w:sz w:val="24"/>
          <w:szCs w:val="24"/>
        </w:rPr>
        <w:t xml:space="preserve"> </w:t>
      </w:r>
      <w:r w:rsidR="008B0373" w:rsidRPr="005A06AA">
        <w:rPr>
          <w:rFonts w:ascii="Arial" w:hAnsi="Arial" w:cs="Arial"/>
          <w:bCs/>
          <w:sz w:val="24"/>
          <w:szCs w:val="24"/>
        </w:rPr>
        <w:t>The new guideline is available here:</w:t>
      </w:r>
    </w:p>
    <w:p w14:paraId="1F767433" w14:textId="77777777" w:rsidR="005A06AA" w:rsidRPr="00431340" w:rsidRDefault="005A06AA" w:rsidP="005B5DBD">
      <w:pPr>
        <w:spacing w:after="0" w:line="240" w:lineRule="auto"/>
        <w:jc w:val="both"/>
        <w:rPr>
          <w:rFonts w:ascii="Arial" w:hAnsi="Arial" w:cs="Arial"/>
          <w:sz w:val="24"/>
          <w:szCs w:val="24"/>
        </w:rPr>
      </w:pPr>
    </w:p>
    <w:p w14:paraId="20B2CFBA" w14:textId="2B2D1F74" w:rsidR="00523FA6" w:rsidRPr="00431340" w:rsidRDefault="00556797" w:rsidP="005B5DBD">
      <w:pPr>
        <w:spacing w:after="0" w:line="240" w:lineRule="auto"/>
        <w:ind w:left="426"/>
        <w:jc w:val="both"/>
        <w:rPr>
          <w:rFonts w:ascii="Arial" w:hAnsi="Arial" w:cs="Arial"/>
          <w:color w:val="4472C4" w:themeColor="accent1"/>
          <w:sz w:val="24"/>
          <w:szCs w:val="24"/>
        </w:rPr>
      </w:pPr>
      <w:r w:rsidRPr="00431340">
        <w:rPr>
          <w:rFonts w:ascii="Arial" w:hAnsi="Arial" w:cs="Arial"/>
          <w:color w:val="0070C0"/>
          <w:sz w:val="24"/>
          <w:szCs w:val="24"/>
        </w:rPr>
        <w:t xml:space="preserve">  </w:t>
      </w:r>
      <w:hyperlink r:id="rId8" w:history="1">
        <w:r w:rsidRPr="00431340">
          <w:rPr>
            <w:rStyle w:val="Hyperlink"/>
            <w:rFonts w:ascii="Arial" w:hAnsi="Arial" w:cs="Arial"/>
            <w:color w:val="4472C4" w:themeColor="accent1"/>
            <w:sz w:val="24"/>
            <w:szCs w:val="24"/>
          </w:rPr>
          <w:t>https://www.bashhguidelines.org/media/1289/pep-2021.pdf</w:t>
        </w:r>
      </w:hyperlink>
    </w:p>
    <w:p w14:paraId="7D1C5DB5" w14:textId="77777777" w:rsidR="005B5DBD" w:rsidRPr="00431340" w:rsidRDefault="005B5DBD" w:rsidP="005B5DBD">
      <w:pPr>
        <w:spacing w:after="0" w:line="240" w:lineRule="auto"/>
        <w:ind w:left="426"/>
        <w:jc w:val="both"/>
        <w:rPr>
          <w:rFonts w:ascii="Arial" w:hAnsi="Arial" w:cs="Arial"/>
          <w:color w:val="4472C4" w:themeColor="accent1"/>
          <w:sz w:val="24"/>
          <w:szCs w:val="24"/>
        </w:rPr>
      </w:pPr>
    </w:p>
    <w:p w14:paraId="56013755" w14:textId="43A47005" w:rsidR="008B0373" w:rsidRPr="00431340" w:rsidRDefault="00606E8F" w:rsidP="005B5DBD">
      <w:pPr>
        <w:spacing w:after="0" w:line="240" w:lineRule="auto"/>
        <w:ind w:left="426" w:firstLine="141"/>
        <w:jc w:val="both"/>
        <w:rPr>
          <w:rFonts w:ascii="Arial" w:hAnsi="Arial" w:cs="Arial"/>
          <w:color w:val="4472C4" w:themeColor="accent1"/>
          <w:sz w:val="24"/>
          <w:szCs w:val="24"/>
        </w:rPr>
      </w:pPr>
      <w:hyperlink r:id="rId9" w:history="1">
        <w:r w:rsidR="00556797" w:rsidRPr="00431340">
          <w:rPr>
            <w:rStyle w:val="Hyperlink"/>
            <w:rFonts w:ascii="Arial" w:hAnsi="Arial" w:cs="Arial"/>
            <w:color w:val="4472C4" w:themeColor="accent1"/>
            <w:sz w:val="24"/>
            <w:szCs w:val="24"/>
          </w:rPr>
          <w:t>https://www.bhiva.org/file/6183b6aa93a4e/PEP-guidelines.pdf</w:t>
        </w:r>
      </w:hyperlink>
    </w:p>
    <w:p w14:paraId="21A19420" w14:textId="04FA497D" w:rsidR="00D22C0D" w:rsidRPr="00431340" w:rsidRDefault="005A06AA" w:rsidP="005B5DBD">
      <w:pPr>
        <w:spacing w:after="0" w:line="240" w:lineRule="auto"/>
        <w:jc w:val="both"/>
        <w:rPr>
          <w:rFonts w:ascii="Arial" w:hAnsi="Arial" w:cs="Arial"/>
          <w:b/>
          <w:bCs/>
          <w:sz w:val="24"/>
          <w:szCs w:val="24"/>
        </w:rPr>
      </w:pPr>
      <w:r w:rsidRPr="00431340">
        <w:rPr>
          <w:rFonts w:ascii="Arial" w:hAnsi="Arial" w:cs="Arial"/>
          <w:b/>
          <w:bCs/>
          <w:sz w:val="24"/>
          <w:szCs w:val="24"/>
        </w:rPr>
        <w:t xml:space="preserve"> </w:t>
      </w:r>
    </w:p>
    <w:p w14:paraId="52D3B77C" w14:textId="2F577FFC" w:rsidR="005B35C8" w:rsidRPr="005A06AA" w:rsidRDefault="00063A22" w:rsidP="005B5DBD">
      <w:pPr>
        <w:pStyle w:val="ListParagraph"/>
        <w:numPr>
          <w:ilvl w:val="0"/>
          <w:numId w:val="44"/>
        </w:numPr>
        <w:spacing w:after="0" w:line="240" w:lineRule="auto"/>
        <w:ind w:left="426" w:hanging="426"/>
        <w:jc w:val="both"/>
        <w:rPr>
          <w:rFonts w:ascii="Arial" w:hAnsi="Arial" w:cs="Arial"/>
          <w:b/>
          <w:sz w:val="24"/>
          <w:szCs w:val="24"/>
        </w:rPr>
      </w:pPr>
      <w:r>
        <w:rPr>
          <w:rFonts w:ascii="Arial" w:hAnsi="Arial" w:cs="Arial"/>
          <w:b/>
          <w:sz w:val="24"/>
          <w:szCs w:val="24"/>
        </w:rPr>
        <w:t>Can we</w:t>
      </w:r>
      <w:r w:rsidR="005B35C8" w:rsidRPr="005A06AA">
        <w:rPr>
          <w:rFonts w:ascii="Arial" w:hAnsi="Arial" w:cs="Arial"/>
          <w:b/>
          <w:sz w:val="24"/>
          <w:szCs w:val="24"/>
        </w:rPr>
        <w:t xml:space="preserve"> still </w:t>
      </w:r>
      <w:r w:rsidR="00D22C0D" w:rsidRPr="005A06AA">
        <w:rPr>
          <w:rFonts w:ascii="Arial" w:hAnsi="Arial" w:cs="Arial"/>
          <w:b/>
          <w:sz w:val="24"/>
          <w:szCs w:val="24"/>
        </w:rPr>
        <w:t>provide</w:t>
      </w:r>
      <w:r w:rsidR="005B35C8" w:rsidRPr="005A06AA">
        <w:rPr>
          <w:rFonts w:ascii="Arial" w:hAnsi="Arial" w:cs="Arial"/>
          <w:b/>
          <w:sz w:val="24"/>
          <w:szCs w:val="24"/>
        </w:rPr>
        <w:t xml:space="preserve"> a starter pack for those people attending certain services, </w:t>
      </w:r>
      <w:r w:rsidR="005B5DBD" w:rsidRPr="005B5DBD">
        <w:rPr>
          <w:rFonts w:ascii="Arial" w:hAnsi="Arial" w:cs="Arial"/>
          <w:b/>
          <w:sz w:val="24"/>
          <w:szCs w:val="24"/>
        </w:rPr>
        <w:t>i.e. A&amp;E, OH, SARC’s?</w:t>
      </w:r>
    </w:p>
    <w:p w14:paraId="7F407EFE" w14:textId="77777777" w:rsidR="005A06AA" w:rsidRPr="005A06AA" w:rsidRDefault="005A06AA" w:rsidP="005B5DBD">
      <w:pPr>
        <w:pStyle w:val="ListParagraph"/>
        <w:spacing w:after="0" w:line="240" w:lineRule="auto"/>
        <w:ind w:left="644"/>
        <w:jc w:val="both"/>
        <w:rPr>
          <w:rFonts w:ascii="Arial" w:hAnsi="Arial" w:cs="Arial"/>
          <w:b/>
          <w:sz w:val="24"/>
          <w:szCs w:val="24"/>
        </w:rPr>
      </w:pPr>
    </w:p>
    <w:p w14:paraId="2FB555CC" w14:textId="5C803CB3" w:rsidR="00D22C0D" w:rsidRDefault="00FB7E64" w:rsidP="005B5DBD">
      <w:pPr>
        <w:spacing w:after="0" w:line="240" w:lineRule="auto"/>
        <w:ind w:left="426"/>
        <w:jc w:val="both"/>
        <w:rPr>
          <w:rFonts w:ascii="Arial" w:hAnsi="Arial" w:cs="Arial"/>
          <w:bCs/>
          <w:sz w:val="24"/>
          <w:szCs w:val="24"/>
        </w:rPr>
      </w:pPr>
      <w:r>
        <w:rPr>
          <w:rFonts w:ascii="Arial" w:hAnsi="Arial" w:cs="Arial"/>
          <w:bCs/>
          <w:sz w:val="24"/>
          <w:szCs w:val="24"/>
        </w:rPr>
        <w:t>For</w:t>
      </w:r>
      <w:r w:rsidR="00E171E3" w:rsidRPr="005A06AA">
        <w:rPr>
          <w:rFonts w:ascii="Arial" w:hAnsi="Arial" w:cs="Arial"/>
          <w:bCs/>
          <w:sz w:val="24"/>
          <w:szCs w:val="24"/>
        </w:rPr>
        <w:t xml:space="preserve"> the reasons outlined above there</w:t>
      </w:r>
      <w:r w:rsidR="005A06AA">
        <w:rPr>
          <w:rFonts w:ascii="Arial" w:hAnsi="Arial" w:cs="Arial"/>
          <w:bCs/>
          <w:sz w:val="24"/>
          <w:szCs w:val="24"/>
        </w:rPr>
        <w:t xml:space="preserve"> is</w:t>
      </w:r>
      <w:r w:rsidR="00E171E3" w:rsidRPr="005A06AA">
        <w:rPr>
          <w:rFonts w:ascii="Arial" w:hAnsi="Arial" w:cs="Arial"/>
          <w:bCs/>
          <w:sz w:val="24"/>
          <w:szCs w:val="24"/>
        </w:rPr>
        <w:t xml:space="preserve"> </w:t>
      </w:r>
      <w:r>
        <w:rPr>
          <w:rFonts w:ascii="Arial" w:hAnsi="Arial" w:cs="Arial"/>
          <w:bCs/>
          <w:sz w:val="24"/>
          <w:szCs w:val="24"/>
        </w:rPr>
        <w:t xml:space="preserve">no reasonable </w:t>
      </w:r>
      <w:r w:rsidR="00E171E3" w:rsidRPr="005A06AA">
        <w:rPr>
          <w:rFonts w:ascii="Arial" w:hAnsi="Arial" w:cs="Arial"/>
          <w:bCs/>
          <w:sz w:val="24"/>
          <w:szCs w:val="24"/>
        </w:rPr>
        <w:t xml:space="preserve">justification for </w:t>
      </w:r>
      <w:r>
        <w:rPr>
          <w:rFonts w:ascii="Arial" w:hAnsi="Arial" w:cs="Arial"/>
          <w:bCs/>
          <w:sz w:val="24"/>
          <w:szCs w:val="24"/>
        </w:rPr>
        <w:t xml:space="preserve">any service to </w:t>
      </w:r>
      <w:r w:rsidR="00E171E3" w:rsidRPr="005A06AA">
        <w:rPr>
          <w:rFonts w:ascii="Arial" w:hAnsi="Arial" w:cs="Arial"/>
          <w:bCs/>
          <w:sz w:val="24"/>
          <w:szCs w:val="24"/>
        </w:rPr>
        <w:t>provid</w:t>
      </w:r>
      <w:r>
        <w:rPr>
          <w:rFonts w:ascii="Arial" w:hAnsi="Arial" w:cs="Arial"/>
          <w:bCs/>
          <w:sz w:val="24"/>
          <w:szCs w:val="24"/>
        </w:rPr>
        <w:t>e</w:t>
      </w:r>
      <w:r w:rsidR="00E171E3" w:rsidRPr="005A06AA">
        <w:rPr>
          <w:rFonts w:ascii="Arial" w:hAnsi="Arial" w:cs="Arial"/>
          <w:bCs/>
          <w:sz w:val="24"/>
          <w:szCs w:val="24"/>
        </w:rPr>
        <w:t xml:space="preserve"> starter packs. </w:t>
      </w:r>
      <w:r>
        <w:rPr>
          <w:rFonts w:ascii="Arial" w:hAnsi="Arial" w:cs="Arial"/>
          <w:bCs/>
          <w:sz w:val="24"/>
          <w:szCs w:val="24"/>
        </w:rPr>
        <w:t>A</w:t>
      </w:r>
      <w:r w:rsidRPr="005A06AA">
        <w:rPr>
          <w:rFonts w:ascii="Arial" w:hAnsi="Arial" w:cs="Arial"/>
          <w:bCs/>
          <w:sz w:val="24"/>
          <w:szCs w:val="24"/>
        </w:rPr>
        <w:t xml:space="preserve"> </w:t>
      </w:r>
      <w:r w:rsidR="00842ED7" w:rsidRPr="005A06AA">
        <w:rPr>
          <w:rFonts w:ascii="Arial" w:hAnsi="Arial" w:cs="Arial"/>
          <w:bCs/>
          <w:sz w:val="24"/>
          <w:szCs w:val="24"/>
        </w:rPr>
        <w:t xml:space="preserve">30-day pack should be </w:t>
      </w:r>
      <w:r>
        <w:rPr>
          <w:rFonts w:ascii="Arial" w:hAnsi="Arial" w:cs="Arial"/>
          <w:bCs/>
          <w:sz w:val="24"/>
          <w:szCs w:val="24"/>
        </w:rPr>
        <w:t>provided</w:t>
      </w:r>
      <w:r w:rsidRPr="005A06AA">
        <w:rPr>
          <w:rFonts w:ascii="Arial" w:hAnsi="Arial" w:cs="Arial"/>
          <w:bCs/>
          <w:sz w:val="24"/>
          <w:szCs w:val="24"/>
        </w:rPr>
        <w:t xml:space="preserve"> </w:t>
      </w:r>
      <w:r w:rsidR="00842ED7" w:rsidRPr="005A06AA">
        <w:rPr>
          <w:rFonts w:ascii="Arial" w:hAnsi="Arial" w:cs="Arial"/>
          <w:bCs/>
          <w:sz w:val="24"/>
          <w:szCs w:val="24"/>
        </w:rPr>
        <w:t>to all</w:t>
      </w:r>
      <w:r w:rsidR="005808BA">
        <w:rPr>
          <w:rFonts w:ascii="Arial" w:hAnsi="Arial" w:cs="Arial"/>
          <w:bCs/>
          <w:sz w:val="24"/>
          <w:szCs w:val="24"/>
        </w:rPr>
        <w:t xml:space="preserve"> individuals who require PEP</w:t>
      </w:r>
      <w:r w:rsidR="00842ED7" w:rsidRPr="005A06AA">
        <w:rPr>
          <w:rFonts w:ascii="Arial" w:hAnsi="Arial" w:cs="Arial"/>
          <w:bCs/>
          <w:sz w:val="24"/>
          <w:szCs w:val="24"/>
        </w:rPr>
        <w:t xml:space="preserve">. If at the time of </w:t>
      </w:r>
      <w:r w:rsidR="005A06AA" w:rsidRPr="005A06AA">
        <w:rPr>
          <w:rFonts w:ascii="Arial" w:hAnsi="Arial" w:cs="Arial"/>
          <w:bCs/>
          <w:sz w:val="24"/>
          <w:szCs w:val="24"/>
        </w:rPr>
        <w:t>follow-up,</w:t>
      </w:r>
      <w:r w:rsidR="00842ED7" w:rsidRPr="005A06AA">
        <w:rPr>
          <w:rFonts w:ascii="Arial" w:hAnsi="Arial" w:cs="Arial"/>
          <w:bCs/>
          <w:sz w:val="24"/>
          <w:szCs w:val="24"/>
        </w:rPr>
        <w:t xml:space="preserve"> the</w:t>
      </w:r>
      <w:r w:rsidR="005808BA">
        <w:rPr>
          <w:rFonts w:ascii="Arial" w:hAnsi="Arial" w:cs="Arial"/>
          <w:bCs/>
          <w:sz w:val="24"/>
          <w:szCs w:val="24"/>
        </w:rPr>
        <w:t xml:space="preserve"> decision is made to </w:t>
      </w:r>
      <w:r w:rsidR="00842ED7" w:rsidRPr="005A06AA">
        <w:rPr>
          <w:rFonts w:ascii="Arial" w:hAnsi="Arial" w:cs="Arial"/>
          <w:bCs/>
          <w:sz w:val="24"/>
          <w:szCs w:val="24"/>
        </w:rPr>
        <w:t>discontinue PEP then the remain</w:t>
      </w:r>
      <w:r w:rsidR="005808BA">
        <w:rPr>
          <w:rFonts w:ascii="Arial" w:hAnsi="Arial" w:cs="Arial"/>
          <w:bCs/>
          <w:sz w:val="24"/>
          <w:szCs w:val="24"/>
        </w:rPr>
        <w:t>ing</w:t>
      </w:r>
      <w:r w:rsidR="00D75DC0">
        <w:rPr>
          <w:rFonts w:ascii="Arial" w:hAnsi="Arial" w:cs="Arial"/>
          <w:bCs/>
          <w:sz w:val="24"/>
          <w:szCs w:val="24"/>
        </w:rPr>
        <w:t xml:space="preserve"> </w:t>
      </w:r>
      <w:r w:rsidR="00842ED7" w:rsidRPr="005A06AA">
        <w:rPr>
          <w:rFonts w:ascii="Arial" w:hAnsi="Arial" w:cs="Arial"/>
          <w:bCs/>
          <w:sz w:val="24"/>
          <w:szCs w:val="24"/>
        </w:rPr>
        <w:t xml:space="preserve">drugs can be returned to any pharmacy. </w:t>
      </w:r>
    </w:p>
    <w:p w14:paraId="3EA579C4" w14:textId="6D3D2CC4" w:rsidR="00891FB8" w:rsidRDefault="00891FB8" w:rsidP="005B5DBD">
      <w:pPr>
        <w:spacing w:after="0" w:line="240" w:lineRule="auto"/>
        <w:ind w:left="426"/>
        <w:jc w:val="both"/>
        <w:rPr>
          <w:rFonts w:ascii="Arial" w:hAnsi="Arial" w:cs="Arial"/>
          <w:bCs/>
          <w:sz w:val="24"/>
          <w:szCs w:val="24"/>
        </w:rPr>
      </w:pPr>
    </w:p>
    <w:p w14:paraId="5EEB4FDD" w14:textId="0463CA73" w:rsidR="00891FB8" w:rsidRDefault="00891FB8" w:rsidP="005B5DBD">
      <w:pPr>
        <w:spacing w:after="0" w:line="240" w:lineRule="auto"/>
        <w:ind w:left="426"/>
        <w:jc w:val="both"/>
        <w:rPr>
          <w:rFonts w:ascii="Arial" w:hAnsi="Arial" w:cs="Arial"/>
          <w:bCs/>
          <w:sz w:val="24"/>
          <w:szCs w:val="24"/>
        </w:rPr>
      </w:pPr>
    </w:p>
    <w:p w14:paraId="035A463E" w14:textId="39456F4C" w:rsidR="00891FB8" w:rsidRDefault="00891FB8" w:rsidP="005B5DBD">
      <w:pPr>
        <w:spacing w:after="0" w:line="240" w:lineRule="auto"/>
        <w:ind w:left="426"/>
        <w:jc w:val="both"/>
        <w:rPr>
          <w:rFonts w:ascii="Arial" w:hAnsi="Arial" w:cs="Arial"/>
          <w:bCs/>
          <w:sz w:val="24"/>
          <w:szCs w:val="24"/>
        </w:rPr>
      </w:pPr>
    </w:p>
    <w:p w14:paraId="37CB87FB" w14:textId="162C8C11" w:rsidR="00891FB8" w:rsidRDefault="00891FB8" w:rsidP="005B5DBD">
      <w:pPr>
        <w:spacing w:after="0" w:line="240" w:lineRule="auto"/>
        <w:ind w:left="426"/>
        <w:jc w:val="both"/>
        <w:rPr>
          <w:rFonts w:ascii="Arial" w:hAnsi="Arial" w:cs="Arial"/>
          <w:bCs/>
          <w:sz w:val="24"/>
          <w:szCs w:val="24"/>
        </w:rPr>
      </w:pPr>
    </w:p>
    <w:p w14:paraId="46062086" w14:textId="741A7EEE" w:rsidR="00891FB8" w:rsidRDefault="00891FB8" w:rsidP="005B5DBD">
      <w:pPr>
        <w:spacing w:after="0" w:line="240" w:lineRule="auto"/>
        <w:ind w:left="426"/>
        <w:jc w:val="both"/>
        <w:rPr>
          <w:rFonts w:ascii="Arial" w:hAnsi="Arial" w:cs="Arial"/>
          <w:bCs/>
          <w:sz w:val="24"/>
          <w:szCs w:val="24"/>
        </w:rPr>
      </w:pPr>
    </w:p>
    <w:p w14:paraId="378470E4" w14:textId="6EEB9B30" w:rsidR="00891FB8" w:rsidRDefault="00891FB8" w:rsidP="005B5DBD">
      <w:pPr>
        <w:spacing w:after="0" w:line="240" w:lineRule="auto"/>
        <w:ind w:left="426"/>
        <w:jc w:val="both"/>
        <w:rPr>
          <w:rFonts w:ascii="Arial" w:hAnsi="Arial" w:cs="Arial"/>
          <w:bCs/>
          <w:sz w:val="24"/>
          <w:szCs w:val="24"/>
        </w:rPr>
      </w:pPr>
    </w:p>
    <w:p w14:paraId="5FAD81C3" w14:textId="77777777" w:rsidR="00891FB8" w:rsidRPr="005A06AA" w:rsidRDefault="00891FB8" w:rsidP="005B5DBD">
      <w:pPr>
        <w:spacing w:after="0" w:line="240" w:lineRule="auto"/>
        <w:ind w:left="426"/>
        <w:jc w:val="both"/>
        <w:rPr>
          <w:rFonts w:ascii="Arial" w:hAnsi="Arial" w:cs="Arial"/>
          <w:bCs/>
          <w:sz w:val="24"/>
          <w:szCs w:val="24"/>
        </w:rPr>
      </w:pPr>
    </w:p>
    <w:p w14:paraId="64EA2E67" w14:textId="070305B4" w:rsidR="00523FA6" w:rsidRPr="005A06AA" w:rsidRDefault="00523FA6" w:rsidP="005B5DBD">
      <w:pPr>
        <w:spacing w:after="0" w:line="240" w:lineRule="auto"/>
        <w:jc w:val="both"/>
        <w:rPr>
          <w:rFonts w:ascii="Arial" w:hAnsi="Arial" w:cs="Arial"/>
          <w:b/>
          <w:sz w:val="24"/>
          <w:szCs w:val="24"/>
        </w:rPr>
      </w:pPr>
    </w:p>
    <w:p w14:paraId="4A48B501" w14:textId="15F21728" w:rsidR="005A06AA" w:rsidRDefault="005A06AA" w:rsidP="005B5DBD">
      <w:pPr>
        <w:spacing w:after="0" w:line="240" w:lineRule="auto"/>
        <w:ind w:left="426" w:hanging="426"/>
        <w:rPr>
          <w:rFonts w:ascii="Arial" w:hAnsi="Arial" w:cs="Arial"/>
          <w:b/>
          <w:sz w:val="24"/>
          <w:szCs w:val="24"/>
        </w:rPr>
      </w:pPr>
      <w:r>
        <w:rPr>
          <w:rFonts w:ascii="Arial" w:hAnsi="Arial" w:cs="Arial"/>
          <w:b/>
          <w:sz w:val="24"/>
          <w:szCs w:val="24"/>
        </w:rPr>
        <w:t>4.</w:t>
      </w:r>
      <w:r w:rsidR="00523FA6" w:rsidRPr="005A06AA">
        <w:rPr>
          <w:rFonts w:ascii="Arial" w:hAnsi="Arial" w:cs="Arial"/>
          <w:b/>
          <w:sz w:val="24"/>
          <w:szCs w:val="24"/>
        </w:rPr>
        <w:t xml:space="preserve">  </w:t>
      </w:r>
      <w:r w:rsidR="005B5DBD">
        <w:rPr>
          <w:rFonts w:ascii="Arial" w:hAnsi="Arial" w:cs="Arial"/>
          <w:b/>
          <w:sz w:val="24"/>
          <w:szCs w:val="24"/>
        </w:rPr>
        <w:t xml:space="preserve"> </w:t>
      </w:r>
      <w:r w:rsidR="00523FA6" w:rsidRPr="005A06AA">
        <w:rPr>
          <w:rFonts w:ascii="Arial" w:hAnsi="Arial" w:cs="Arial"/>
          <w:b/>
          <w:sz w:val="24"/>
          <w:szCs w:val="24"/>
        </w:rPr>
        <w:t xml:space="preserve">Do we still need to refer patients </w:t>
      </w:r>
      <w:r w:rsidR="00FB7E64">
        <w:rPr>
          <w:rFonts w:ascii="Arial" w:hAnsi="Arial" w:cs="Arial"/>
          <w:b/>
          <w:sz w:val="24"/>
          <w:szCs w:val="24"/>
        </w:rPr>
        <w:t>for</w:t>
      </w:r>
      <w:r w:rsidR="00FB7E64" w:rsidRPr="005A06AA">
        <w:rPr>
          <w:rFonts w:ascii="Arial" w:hAnsi="Arial" w:cs="Arial"/>
          <w:b/>
          <w:sz w:val="24"/>
          <w:szCs w:val="24"/>
        </w:rPr>
        <w:t xml:space="preserve"> </w:t>
      </w:r>
      <w:r w:rsidR="00063A22">
        <w:rPr>
          <w:rFonts w:ascii="Arial" w:hAnsi="Arial" w:cs="Arial"/>
          <w:b/>
          <w:sz w:val="24"/>
          <w:szCs w:val="24"/>
        </w:rPr>
        <w:t>specialist follow</w:t>
      </w:r>
      <w:r w:rsidR="00FB7E64">
        <w:rPr>
          <w:rFonts w:ascii="Arial" w:hAnsi="Arial" w:cs="Arial"/>
          <w:b/>
          <w:sz w:val="24"/>
          <w:szCs w:val="24"/>
        </w:rPr>
        <w:t>-</w:t>
      </w:r>
      <w:r w:rsidR="00063A22">
        <w:rPr>
          <w:rFonts w:ascii="Arial" w:hAnsi="Arial" w:cs="Arial"/>
          <w:b/>
          <w:sz w:val="24"/>
          <w:szCs w:val="24"/>
        </w:rPr>
        <w:t xml:space="preserve">up </w:t>
      </w:r>
      <w:r w:rsidR="00FB7E64">
        <w:rPr>
          <w:rFonts w:ascii="Arial" w:hAnsi="Arial" w:cs="Arial"/>
          <w:b/>
          <w:sz w:val="24"/>
          <w:szCs w:val="24"/>
        </w:rPr>
        <w:t xml:space="preserve">if they </w:t>
      </w:r>
      <w:r w:rsidR="00523FA6" w:rsidRPr="005A06AA">
        <w:rPr>
          <w:rFonts w:ascii="Arial" w:hAnsi="Arial" w:cs="Arial"/>
          <w:b/>
          <w:sz w:val="24"/>
          <w:szCs w:val="24"/>
        </w:rPr>
        <w:t>initiat</w:t>
      </w:r>
      <w:r w:rsidR="00FB7E64">
        <w:rPr>
          <w:rFonts w:ascii="Arial" w:hAnsi="Arial" w:cs="Arial"/>
          <w:b/>
          <w:sz w:val="24"/>
          <w:szCs w:val="24"/>
        </w:rPr>
        <w:t>ed</w:t>
      </w:r>
      <w:r w:rsidR="00523FA6" w:rsidRPr="005A06AA">
        <w:rPr>
          <w:rFonts w:ascii="Arial" w:hAnsi="Arial" w:cs="Arial"/>
          <w:b/>
          <w:sz w:val="24"/>
          <w:szCs w:val="24"/>
        </w:rPr>
        <w:t xml:space="preserve"> </w:t>
      </w:r>
      <w:r w:rsidR="00454ADB">
        <w:rPr>
          <w:rFonts w:ascii="Arial" w:hAnsi="Arial" w:cs="Arial"/>
          <w:b/>
          <w:sz w:val="24"/>
          <w:szCs w:val="24"/>
        </w:rPr>
        <w:t xml:space="preserve">on </w:t>
      </w:r>
      <w:r w:rsidR="00FB7E64">
        <w:rPr>
          <w:rFonts w:ascii="Arial" w:hAnsi="Arial" w:cs="Arial"/>
          <w:b/>
          <w:sz w:val="24"/>
          <w:szCs w:val="24"/>
        </w:rPr>
        <w:t>a</w:t>
      </w:r>
      <w:r w:rsidR="00FB7E64" w:rsidRPr="005A06AA">
        <w:rPr>
          <w:rFonts w:ascii="Arial" w:hAnsi="Arial" w:cs="Arial"/>
          <w:b/>
          <w:sz w:val="24"/>
          <w:szCs w:val="24"/>
        </w:rPr>
        <w:t xml:space="preserve"> </w:t>
      </w:r>
      <w:r w:rsidR="00523FA6" w:rsidRPr="005A06AA">
        <w:rPr>
          <w:rFonts w:ascii="Arial" w:hAnsi="Arial" w:cs="Arial"/>
          <w:b/>
          <w:sz w:val="24"/>
          <w:szCs w:val="24"/>
        </w:rPr>
        <w:t>30-day pack</w:t>
      </w:r>
      <w:r w:rsidR="00FB7E64">
        <w:rPr>
          <w:rFonts w:ascii="Arial" w:hAnsi="Arial" w:cs="Arial"/>
          <w:b/>
          <w:sz w:val="24"/>
          <w:szCs w:val="24"/>
        </w:rPr>
        <w:t xml:space="preserve"> </w:t>
      </w:r>
      <w:r w:rsidR="00454ADB">
        <w:rPr>
          <w:rFonts w:ascii="Arial" w:hAnsi="Arial" w:cs="Arial"/>
          <w:b/>
          <w:sz w:val="24"/>
          <w:szCs w:val="24"/>
        </w:rPr>
        <w:t>in</w:t>
      </w:r>
      <w:r w:rsidR="00FB7E64">
        <w:rPr>
          <w:rFonts w:ascii="Arial" w:hAnsi="Arial" w:cs="Arial"/>
          <w:b/>
          <w:sz w:val="24"/>
          <w:szCs w:val="24"/>
        </w:rPr>
        <w:t xml:space="preserve"> a non-specialist service</w:t>
      </w:r>
      <w:r w:rsidR="00523FA6" w:rsidRPr="005A06AA">
        <w:rPr>
          <w:rFonts w:ascii="Arial" w:hAnsi="Arial" w:cs="Arial"/>
          <w:b/>
          <w:sz w:val="24"/>
          <w:szCs w:val="24"/>
        </w:rPr>
        <w:t>?</w:t>
      </w:r>
    </w:p>
    <w:p w14:paraId="19FE8D87" w14:textId="1A3DA752" w:rsidR="00523FA6" w:rsidRPr="005A06AA" w:rsidRDefault="00523FA6" w:rsidP="005B5DBD">
      <w:pPr>
        <w:spacing w:after="0" w:line="240" w:lineRule="auto"/>
        <w:ind w:left="284" w:hanging="284"/>
        <w:jc w:val="both"/>
        <w:rPr>
          <w:rFonts w:ascii="Arial" w:hAnsi="Arial" w:cs="Arial"/>
          <w:b/>
          <w:sz w:val="24"/>
          <w:szCs w:val="24"/>
        </w:rPr>
      </w:pPr>
    </w:p>
    <w:p w14:paraId="6126CAFD" w14:textId="77777777" w:rsidR="00DE5199" w:rsidRDefault="00614CA0" w:rsidP="005B5DBD">
      <w:pPr>
        <w:spacing w:after="0" w:line="240" w:lineRule="auto"/>
        <w:ind w:left="426"/>
        <w:jc w:val="both"/>
        <w:rPr>
          <w:rFonts w:ascii="Arial" w:hAnsi="Arial" w:cs="Arial"/>
          <w:bCs/>
          <w:sz w:val="24"/>
          <w:szCs w:val="24"/>
        </w:rPr>
      </w:pPr>
      <w:r w:rsidRPr="005A06AA">
        <w:rPr>
          <w:rFonts w:ascii="Arial" w:hAnsi="Arial" w:cs="Arial"/>
          <w:bCs/>
          <w:sz w:val="24"/>
          <w:szCs w:val="24"/>
        </w:rPr>
        <w:t xml:space="preserve">All patients receiving PEP need to have early follow-up </w:t>
      </w:r>
      <w:r w:rsidR="00FB7E64">
        <w:rPr>
          <w:rFonts w:ascii="Arial" w:hAnsi="Arial" w:cs="Arial"/>
          <w:bCs/>
          <w:sz w:val="24"/>
          <w:szCs w:val="24"/>
        </w:rPr>
        <w:t>to review</w:t>
      </w:r>
      <w:r w:rsidR="00DE5199">
        <w:rPr>
          <w:rFonts w:ascii="Arial" w:hAnsi="Arial" w:cs="Arial"/>
          <w:bCs/>
          <w:sz w:val="24"/>
          <w:szCs w:val="24"/>
        </w:rPr>
        <w:t xml:space="preserve"> </w:t>
      </w:r>
      <w:r w:rsidRPr="005A06AA">
        <w:rPr>
          <w:rFonts w:ascii="Arial" w:hAnsi="Arial" w:cs="Arial"/>
          <w:bCs/>
          <w:sz w:val="24"/>
          <w:szCs w:val="24"/>
        </w:rPr>
        <w:t>their baseline blood results, revisit the risk assessment with any new information that has come to light about the index case, and to review adherence to the PEP drugs and any side-effects. The se</w:t>
      </w:r>
      <w:r w:rsidR="005808BA">
        <w:rPr>
          <w:rFonts w:ascii="Arial" w:hAnsi="Arial" w:cs="Arial"/>
          <w:bCs/>
          <w:sz w:val="24"/>
          <w:szCs w:val="24"/>
        </w:rPr>
        <w:t>rvice providing</w:t>
      </w:r>
      <w:r w:rsidRPr="005A06AA">
        <w:rPr>
          <w:rFonts w:ascii="Arial" w:hAnsi="Arial" w:cs="Arial"/>
          <w:bCs/>
          <w:sz w:val="24"/>
          <w:szCs w:val="24"/>
        </w:rPr>
        <w:t xml:space="preserve"> this early follow-up will vary depending on whether </w:t>
      </w:r>
    </w:p>
    <w:p w14:paraId="2798B79C" w14:textId="77777777" w:rsidR="00DE5199" w:rsidRPr="00005156" w:rsidRDefault="00DE5199" w:rsidP="005B5DBD">
      <w:pPr>
        <w:spacing w:after="0" w:line="240" w:lineRule="auto"/>
        <w:ind w:left="426"/>
        <w:jc w:val="both"/>
        <w:rPr>
          <w:rFonts w:ascii="Arial" w:hAnsi="Arial" w:cs="Arial"/>
          <w:bCs/>
          <w:sz w:val="2"/>
          <w:szCs w:val="2"/>
        </w:rPr>
      </w:pPr>
    </w:p>
    <w:p w14:paraId="1D6C34EC" w14:textId="77777777" w:rsidR="00FB4262" w:rsidRDefault="00FB4262" w:rsidP="005B5DBD">
      <w:pPr>
        <w:spacing w:after="0" w:line="240" w:lineRule="auto"/>
        <w:ind w:left="426"/>
        <w:jc w:val="both"/>
        <w:rPr>
          <w:rFonts w:ascii="Arial" w:hAnsi="Arial" w:cs="Arial"/>
          <w:bCs/>
          <w:sz w:val="24"/>
          <w:szCs w:val="24"/>
        </w:rPr>
      </w:pPr>
    </w:p>
    <w:p w14:paraId="0A0719A9" w14:textId="2074018D" w:rsidR="00614CA0" w:rsidRPr="005A06AA" w:rsidRDefault="00614CA0" w:rsidP="005B5DBD">
      <w:pPr>
        <w:spacing w:after="0" w:line="240" w:lineRule="auto"/>
        <w:ind w:left="426"/>
        <w:jc w:val="both"/>
        <w:rPr>
          <w:rFonts w:ascii="Arial" w:hAnsi="Arial" w:cs="Arial"/>
          <w:bCs/>
          <w:sz w:val="24"/>
          <w:szCs w:val="24"/>
        </w:rPr>
      </w:pPr>
      <w:r w:rsidRPr="005A06AA">
        <w:rPr>
          <w:rFonts w:ascii="Arial" w:hAnsi="Arial" w:cs="Arial"/>
          <w:bCs/>
          <w:sz w:val="24"/>
          <w:szCs w:val="24"/>
        </w:rPr>
        <w:t xml:space="preserve">this is a sexual exposure or an occupational exposure and the local PEP pathway. If the </w:t>
      </w:r>
      <w:r w:rsidR="005A06AA" w:rsidRPr="005A06AA">
        <w:rPr>
          <w:rFonts w:ascii="Arial" w:hAnsi="Arial" w:cs="Arial"/>
          <w:bCs/>
          <w:sz w:val="24"/>
          <w:szCs w:val="24"/>
        </w:rPr>
        <w:t>30-day</w:t>
      </w:r>
      <w:r w:rsidRPr="005A06AA">
        <w:rPr>
          <w:rFonts w:ascii="Arial" w:hAnsi="Arial" w:cs="Arial"/>
          <w:bCs/>
          <w:sz w:val="24"/>
          <w:szCs w:val="24"/>
        </w:rPr>
        <w:t xml:space="preserve"> pack has been provided at the </w:t>
      </w:r>
      <w:r w:rsidR="00556797" w:rsidRPr="005A06AA">
        <w:rPr>
          <w:rFonts w:ascii="Arial" w:hAnsi="Arial" w:cs="Arial"/>
          <w:bCs/>
          <w:sz w:val="24"/>
          <w:szCs w:val="24"/>
        </w:rPr>
        <w:t>outset,</w:t>
      </w:r>
      <w:r w:rsidRPr="005A06AA">
        <w:rPr>
          <w:rFonts w:ascii="Arial" w:hAnsi="Arial" w:cs="Arial"/>
          <w:bCs/>
          <w:sz w:val="24"/>
          <w:szCs w:val="24"/>
        </w:rPr>
        <w:t xml:space="preserve"> then the early follow-up can take place by phone</w:t>
      </w:r>
      <w:r w:rsidR="005808BA">
        <w:rPr>
          <w:rFonts w:ascii="Arial" w:hAnsi="Arial" w:cs="Arial"/>
          <w:bCs/>
          <w:sz w:val="24"/>
          <w:szCs w:val="24"/>
        </w:rPr>
        <w:t xml:space="preserve"> or face to face</w:t>
      </w:r>
      <w:r w:rsidRPr="005A06AA">
        <w:rPr>
          <w:rFonts w:ascii="Arial" w:hAnsi="Arial" w:cs="Arial"/>
          <w:bCs/>
          <w:sz w:val="24"/>
          <w:szCs w:val="24"/>
        </w:rPr>
        <w:t xml:space="preserve">. </w:t>
      </w:r>
    </w:p>
    <w:p w14:paraId="70B6E9AA" w14:textId="77777777" w:rsidR="005B35C8" w:rsidRPr="005A06AA" w:rsidRDefault="005B35C8" w:rsidP="005B5DBD">
      <w:pPr>
        <w:pStyle w:val="ListParagraph"/>
        <w:spacing w:after="0" w:line="240" w:lineRule="auto"/>
        <w:ind w:left="284"/>
        <w:jc w:val="both"/>
        <w:rPr>
          <w:rFonts w:ascii="Arial" w:hAnsi="Arial" w:cs="Arial"/>
          <w:b/>
          <w:color w:val="5B9BD5" w:themeColor="accent5"/>
          <w:sz w:val="24"/>
          <w:szCs w:val="24"/>
        </w:rPr>
      </w:pPr>
    </w:p>
    <w:p w14:paraId="0B4B58D3" w14:textId="1FE530FA" w:rsidR="004F016E" w:rsidRPr="005A06AA" w:rsidRDefault="005A06AA" w:rsidP="005B5DBD">
      <w:pPr>
        <w:spacing w:after="0" w:line="240" w:lineRule="auto"/>
        <w:ind w:left="426" w:hanging="426"/>
        <w:jc w:val="both"/>
        <w:rPr>
          <w:rFonts w:ascii="Arial" w:eastAsia="Times New Roman" w:hAnsi="Arial" w:cs="Arial"/>
          <w:b/>
          <w:sz w:val="24"/>
          <w:szCs w:val="24"/>
        </w:rPr>
      </w:pPr>
      <w:r w:rsidRPr="00556797">
        <w:rPr>
          <w:rFonts w:ascii="Arial" w:eastAsia="Times New Roman" w:hAnsi="Arial" w:cs="Arial"/>
          <w:b/>
          <w:sz w:val="24"/>
          <w:szCs w:val="24"/>
        </w:rPr>
        <w:t>5</w:t>
      </w:r>
      <w:r w:rsidRPr="005A06AA">
        <w:rPr>
          <w:rFonts w:ascii="Arial" w:eastAsia="Times New Roman" w:hAnsi="Arial" w:cs="Arial"/>
          <w:b/>
          <w:color w:val="002060"/>
          <w:sz w:val="24"/>
          <w:szCs w:val="24"/>
        </w:rPr>
        <w:t>.</w:t>
      </w:r>
      <w:r>
        <w:rPr>
          <w:rFonts w:ascii="Arial" w:eastAsia="Times New Roman" w:hAnsi="Arial" w:cs="Arial"/>
          <w:b/>
          <w:color w:val="002060"/>
          <w:sz w:val="24"/>
          <w:szCs w:val="24"/>
        </w:rPr>
        <w:tab/>
      </w:r>
      <w:r w:rsidR="00063A22" w:rsidRPr="00063A22">
        <w:rPr>
          <w:rFonts w:ascii="Arial" w:eastAsia="Times New Roman" w:hAnsi="Arial" w:cs="Arial"/>
          <w:b/>
          <w:sz w:val="24"/>
          <w:szCs w:val="24"/>
        </w:rPr>
        <w:t>What is the national expectation about when the change to order and supply of the</w:t>
      </w:r>
      <w:r w:rsidR="005B5DBD">
        <w:rPr>
          <w:rFonts w:ascii="Arial" w:eastAsia="Times New Roman" w:hAnsi="Arial" w:cs="Arial"/>
          <w:b/>
          <w:sz w:val="24"/>
          <w:szCs w:val="24"/>
        </w:rPr>
        <w:t xml:space="preserve"> new</w:t>
      </w:r>
      <w:r w:rsidR="00063A22" w:rsidRPr="00063A22">
        <w:rPr>
          <w:rFonts w:ascii="Arial" w:eastAsia="Times New Roman" w:hAnsi="Arial" w:cs="Arial"/>
          <w:b/>
          <w:sz w:val="24"/>
          <w:szCs w:val="24"/>
        </w:rPr>
        <w:t xml:space="preserve"> standard </w:t>
      </w:r>
      <w:r w:rsidR="005B5DBD" w:rsidRPr="00063A22">
        <w:rPr>
          <w:rFonts w:ascii="Arial" w:eastAsia="Times New Roman" w:hAnsi="Arial" w:cs="Arial"/>
          <w:b/>
          <w:sz w:val="24"/>
          <w:szCs w:val="24"/>
        </w:rPr>
        <w:t>30-day</w:t>
      </w:r>
      <w:r w:rsidR="005B5DBD">
        <w:rPr>
          <w:rFonts w:ascii="Arial" w:eastAsia="Times New Roman" w:hAnsi="Arial" w:cs="Arial"/>
          <w:b/>
          <w:sz w:val="24"/>
          <w:szCs w:val="24"/>
        </w:rPr>
        <w:t xml:space="preserve"> PEP pack</w:t>
      </w:r>
      <w:r w:rsidR="00063A22" w:rsidRPr="00063A22">
        <w:rPr>
          <w:rFonts w:ascii="Arial" w:eastAsia="Times New Roman" w:hAnsi="Arial" w:cs="Arial"/>
          <w:b/>
          <w:sz w:val="24"/>
          <w:szCs w:val="24"/>
        </w:rPr>
        <w:t xml:space="preserve"> (once daily dosing) come</w:t>
      </w:r>
      <w:r w:rsidR="005B5DBD">
        <w:rPr>
          <w:rFonts w:ascii="Arial" w:eastAsia="Times New Roman" w:hAnsi="Arial" w:cs="Arial"/>
          <w:b/>
          <w:sz w:val="24"/>
          <w:szCs w:val="24"/>
        </w:rPr>
        <w:t>s</w:t>
      </w:r>
      <w:r w:rsidR="00063A22" w:rsidRPr="00063A22">
        <w:rPr>
          <w:rFonts w:ascii="Arial" w:eastAsia="Times New Roman" w:hAnsi="Arial" w:cs="Arial"/>
          <w:b/>
          <w:sz w:val="24"/>
          <w:szCs w:val="24"/>
        </w:rPr>
        <w:t xml:space="preserve"> into effect?</w:t>
      </w:r>
    </w:p>
    <w:p w14:paraId="21498749" w14:textId="77777777" w:rsidR="005A06AA" w:rsidRDefault="005A06AA" w:rsidP="005B5DBD">
      <w:pPr>
        <w:spacing w:after="0" w:line="240" w:lineRule="auto"/>
        <w:jc w:val="both"/>
        <w:rPr>
          <w:rFonts w:ascii="Arial" w:hAnsi="Arial" w:cs="Arial"/>
          <w:sz w:val="24"/>
          <w:szCs w:val="24"/>
        </w:rPr>
      </w:pPr>
    </w:p>
    <w:p w14:paraId="74B9A78B" w14:textId="3CF399CE" w:rsidR="00E05C91" w:rsidRDefault="005B35C8" w:rsidP="005B5DBD">
      <w:pPr>
        <w:spacing w:after="0" w:line="240" w:lineRule="auto"/>
        <w:ind w:left="426"/>
        <w:jc w:val="both"/>
        <w:rPr>
          <w:rFonts w:ascii="Arial" w:hAnsi="Arial" w:cs="Arial"/>
          <w:sz w:val="24"/>
          <w:szCs w:val="24"/>
        </w:rPr>
      </w:pPr>
      <w:r w:rsidRPr="005A06AA">
        <w:rPr>
          <w:rFonts w:ascii="Arial" w:hAnsi="Arial" w:cs="Arial"/>
          <w:sz w:val="24"/>
          <w:szCs w:val="24"/>
        </w:rPr>
        <w:t xml:space="preserve">The new contract </w:t>
      </w:r>
      <w:r w:rsidR="00063A22" w:rsidRPr="00063A22">
        <w:rPr>
          <w:rFonts w:ascii="Arial" w:hAnsi="Arial" w:cs="Arial"/>
          <w:sz w:val="24"/>
          <w:szCs w:val="24"/>
        </w:rPr>
        <w:t xml:space="preserve">for the standard PEP pack </w:t>
      </w:r>
      <w:r w:rsidRPr="005A06AA">
        <w:rPr>
          <w:rFonts w:ascii="Arial" w:hAnsi="Arial" w:cs="Arial"/>
          <w:sz w:val="24"/>
          <w:szCs w:val="24"/>
        </w:rPr>
        <w:t xml:space="preserve">will commence on </w:t>
      </w:r>
      <w:r w:rsidRPr="005A06AA">
        <w:rPr>
          <w:rFonts w:ascii="Arial" w:hAnsi="Arial" w:cs="Arial"/>
          <w:b/>
          <w:bCs/>
          <w:sz w:val="24"/>
          <w:szCs w:val="24"/>
          <w:u w:val="single"/>
        </w:rPr>
        <w:t>1</w:t>
      </w:r>
      <w:r w:rsidRPr="005A06AA">
        <w:rPr>
          <w:rFonts w:ascii="Arial" w:hAnsi="Arial" w:cs="Arial"/>
          <w:b/>
          <w:bCs/>
          <w:sz w:val="24"/>
          <w:szCs w:val="24"/>
          <w:u w:val="single"/>
          <w:vertAlign w:val="superscript"/>
        </w:rPr>
        <w:t>st</w:t>
      </w:r>
      <w:r w:rsidRPr="005A06AA">
        <w:rPr>
          <w:rFonts w:ascii="Arial" w:hAnsi="Arial" w:cs="Arial"/>
          <w:b/>
          <w:bCs/>
          <w:sz w:val="24"/>
          <w:szCs w:val="24"/>
          <w:u w:val="single"/>
        </w:rPr>
        <w:t xml:space="preserve"> February</w:t>
      </w:r>
      <w:r w:rsidR="00AA54A5">
        <w:rPr>
          <w:rFonts w:ascii="Arial" w:hAnsi="Arial" w:cs="Arial"/>
          <w:b/>
          <w:bCs/>
          <w:sz w:val="24"/>
          <w:szCs w:val="24"/>
          <w:u w:val="single"/>
        </w:rPr>
        <w:t xml:space="preserve"> </w:t>
      </w:r>
      <w:r w:rsidRPr="005A06AA">
        <w:rPr>
          <w:rFonts w:ascii="Arial" w:hAnsi="Arial" w:cs="Arial"/>
          <w:b/>
          <w:bCs/>
          <w:sz w:val="24"/>
          <w:szCs w:val="24"/>
          <w:u w:val="single"/>
        </w:rPr>
        <w:t>2022</w:t>
      </w:r>
      <w:r w:rsidRPr="005A06AA">
        <w:rPr>
          <w:rFonts w:ascii="Arial" w:hAnsi="Arial" w:cs="Arial"/>
          <w:sz w:val="24"/>
          <w:szCs w:val="24"/>
        </w:rPr>
        <w:t>.</w:t>
      </w:r>
      <w:r w:rsidR="001416B7">
        <w:rPr>
          <w:rFonts w:ascii="Arial" w:hAnsi="Arial" w:cs="Arial"/>
          <w:sz w:val="24"/>
          <w:szCs w:val="24"/>
        </w:rPr>
        <w:t xml:space="preserve"> However, d</w:t>
      </w:r>
      <w:r w:rsidR="00AA54A5">
        <w:rPr>
          <w:rFonts w:ascii="Arial" w:hAnsi="Arial" w:cs="Arial"/>
          <w:sz w:val="24"/>
          <w:szCs w:val="24"/>
        </w:rPr>
        <w:t xml:space="preserve">ue to current service pressures, </w:t>
      </w:r>
      <w:r w:rsidR="001416B7">
        <w:rPr>
          <w:rFonts w:ascii="Arial" w:hAnsi="Arial" w:cs="Arial"/>
          <w:sz w:val="24"/>
          <w:szCs w:val="24"/>
        </w:rPr>
        <w:t>we recognise that it might take time to train staff and implement the new packs.</w:t>
      </w:r>
      <w:r w:rsidR="00E05C91">
        <w:rPr>
          <w:rFonts w:ascii="Arial" w:hAnsi="Arial" w:cs="Arial"/>
          <w:sz w:val="24"/>
          <w:szCs w:val="24"/>
        </w:rPr>
        <w:t xml:space="preserve"> Also, it will take a </w:t>
      </w:r>
      <w:r w:rsidR="00FB4262">
        <w:rPr>
          <w:rFonts w:ascii="Arial" w:hAnsi="Arial" w:cs="Arial"/>
          <w:sz w:val="24"/>
          <w:szCs w:val="24"/>
        </w:rPr>
        <w:t>number of</w:t>
      </w:r>
      <w:r w:rsidR="00E05C91">
        <w:rPr>
          <w:rFonts w:ascii="Arial" w:hAnsi="Arial" w:cs="Arial"/>
          <w:sz w:val="24"/>
          <w:szCs w:val="24"/>
        </w:rPr>
        <w:t xml:space="preserve"> weeks for the new supplier to have the packs ready for supply.</w:t>
      </w:r>
    </w:p>
    <w:p w14:paraId="0A90C018" w14:textId="77777777" w:rsidR="00E05C91" w:rsidRDefault="00E05C91" w:rsidP="005B5DBD">
      <w:pPr>
        <w:spacing w:after="0" w:line="240" w:lineRule="auto"/>
        <w:ind w:left="426"/>
        <w:jc w:val="both"/>
        <w:rPr>
          <w:rFonts w:ascii="Arial" w:hAnsi="Arial" w:cs="Arial"/>
          <w:sz w:val="24"/>
          <w:szCs w:val="24"/>
        </w:rPr>
      </w:pPr>
    </w:p>
    <w:p w14:paraId="49921811" w14:textId="479A6E92" w:rsidR="00FD468C" w:rsidRPr="005A06AA" w:rsidRDefault="005B35C8" w:rsidP="005B5DBD">
      <w:pPr>
        <w:spacing w:after="0" w:line="240" w:lineRule="auto"/>
        <w:ind w:left="426"/>
        <w:jc w:val="both"/>
        <w:rPr>
          <w:rFonts w:ascii="Arial" w:hAnsi="Arial" w:cs="Arial"/>
          <w:sz w:val="24"/>
          <w:szCs w:val="24"/>
        </w:rPr>
      </w:pPr>
      <w:r w:rsidRPr="005A06AA">
        <w:rPr>
          <w:rFonts w:ascii="Arial" w:hAnsi="Arial" w:cs="Arial"/>
          <w:sz w:val="24"/>
          <w:szCs w:val="24"/>
        </w:rPr>
        <w:t>The table below sets out the expect</w:t>
      </w:r>
      <w:r w:rsidR="001416B7">
        <w:rPr>
          <w:rFonts w:ascii="Arial" w:hAnsi="Arial" w:cs="Arial"/>
          <w:sz w:val="24"/>
          <w:szCs w:val="24"/>
        </w:rPr>
        <w:t>ed dates</w:t>
      </w:r>
      <w:r w:rsidRPr="005A06AA">
        <w:rPr>
          <w:rFonts w:ascii="Arial" w:hAnsi="Arial" w:cs="Arial"/>
          <w:sz w:val="24"/>
          <w:szCs w:val="24"/>
        </w:rPr>
        <w:t xml:space="preserve"> for transitioning</w:t>
      </w:r>
      <w:r w:rsidR="009D51FB" w:rsidRPr="005A06AA">
        <w:rPr>
          <w:rFonts w:ascii="Arial" w:hAnsi="Arial" w:cs="Arial"/>
          <w:sz w:val="24"/>
          <w:szCs w:val="24"/>
        </w:rPr>
        <w:t xml:space="preserve"> to this </w:t>
      </w:r>
      <w:r w:rsidR="001416B7">
        <w:rPr>
          <w:rFonts w:ascii="Arial" w:hAnsi="Arial" w:cs="Arial"/>
          <w:sz w:val="24"/>
          <w:szCs w:val="24"/>
        </w:rPr>
        <w:t xml:space="preserve">new </w:t>
      </w:r>
      <w:r w:rsidR="009D51FB" w:rsidRPr="005A06AA">
        <w:rPr>
          <w:rFonts w:ascii="Arial" w:hAnsi="Arial" w:cs="Arial"/>
          <w:sz w:val="24"/>
          <w:szCs w:val="24"/>
        </w:rPr>
        <w:t>arrangement</w:t>
      </w:r>
      <w:r w:rsidR="00204368">
        <w:rPr>
          <w:rFonts w:ascii="Arial" w:hAnsi="Arial" w:cs="Arial"/>
          <w:sz w:val="24"/>
          <w:szCs w:val="24"/>
        </w:rPr>
        <w:t xml:space="preserve"> for </w:t>
      </w:r>
      <w:r w:rsidR="00204368" w:rsidRPr="005A06AA">
        <w:rPr>
          <w:rFonts w:ascii="Arial" w:hAnsi="Arial" w:cs="Arial"/>
          <w:sz w:val="24"/>
          <w:szCs w:val="24"/>
        </w:rPr>
        <w:t xml:space="preserve">routine commissioning of </w:t>
      </w:r>
      <w:r w:rsidR="00204368">
        <w:rPr>
          <w:rFonts w:ascii="Arial" w:hAnsi="Arial" w:cs="Arial"/>
          <w:sz w:val="24"/>
          <w:szCs w:val="24"/>
        </w:rPr>
        <w:t xml:space="preserve">the </w:t>
      </w:r>
      <w:r w:rsidR="00204368" w:rsidRPr="005A06AA">
        <w:rPr>
          <w:rFonts w:ascii="Arial" w:hAnsi="Arial" w:cs="Arial"/>
          <w:sz w:val="24"/>
          <w:szCs w:val="24"/>
        </w:rPr>
        <w:t>30-day PEP packs</w:t>
      </w:r>
      <w:r w:rsidRPr="005A06AA">
        <w:rPr>
          <w:rFonts w:ascii="Arial" w:hAnsi="Arial" w:cs="Arial"/>
          <w:sz w:val="24"/>
          <w:szCs w:val="24"/>
        </w:rPr>
        <w:t>.</w:t>
      </w:r>
      <w:r w:rsidR="00DF6080" w:rsidRPr="005A06AA">
        <w:rPr>
          <w:rFonts w:ascii="Arial" w:hAnsi="Arial" w:cs="Arial"/>
          <w:sz w:val="24"/>
          <w:szCs w:val="24"/>
        </w:rPr>
        <w:t xml:space="preserve"> </w:t>
      </w:r>
    </w:p>
    <w:p w14:paraId="13251DBD" w14:textId="347D4ADD" w:rsidR="005B35C8" w:rsidRPr="005A06AA" w:rsidRDefault="005B35C8" w:rsidP="005B5DBD">
      <w:pPr>
        <w:spacing w:after="0" w:line="240" w:lineRule="auto"/>
        <w:jc w:val="both"/>
        <w:rPr>
          <w:rFonts w:ascii="Arial" w:hAnsi="Arial" w:cs="Arial"/>
          <w:sz w:val="24"/>
          <w:szCs w:val="24"/>
        </w:rPr>
      </w:pPr>
    </w:p>
    <w:tbl>
      <w:tblPr>
        <w:tblStyle w:val="TableGrid"/>
        <w:tblW w:w="8788" w:type="dxa"/>
        <w:tblInd w:w="421" w:type="dxa"/>
        <w:tblLook w:val="04A0" w:firstRow="1" w:lastRow="0" w:firstColumn="1" w:lastColumn="0" w:noHBand="0" w:noVBand="1"/>
      </w:tblPr>
      <w:tblGrid>
        <w:gridCol w:w="3827"/>
        <w:gridCol w:w="4961"/>
      </w:tblGrid>
      <w:tr w:rsidR="003C122E" w:rsidRPr="005A06AA" w14:paraId="767B6285" w14:textId="77777777" w:rsidTr="00AA54A5">
        <w:tc>
          <w:tcPr>
            <w:tcW w:w="3827" w:type="dxa"/>
            <w:shd w:val="clear" w:color="auto" w:fill="002060"/>
          </w:tcPr>
          <w:p w14:paraId="199DB32B" w14:textId="3C524BE8" w:rsidR="003C122E" w:rsidRPr="00556797" w:rsidRDefault="003C122E" w:rsidP="005B5DBD">
            <w:pPr>
              <w:jc w:val="both"/>
              <w:rPr>
                <w:rFonts w:ascii="Arial" w:hAnsi="Arial" w:cs="Arial"/>
                <w:b/>
                <w:bCs/>
                <w:color w:val="FFFFFF" w:themeColor="background1"/>
                <w:sz w:val="24"/>
                <w:szCs w:val="24"/>
              </w:rPr>
            </w:pPr>
            <w:r w:rsidRPr="00556797">
              <w:rPr>
                <w:rFonts w:ascii="Arial" w:hAnsi="Arial" w:cs="Arial"/>
                <w:b/>
                <w:bCs/>
                <w:color w:val="FFFFFF" w:themeColor="background1"/>
                <w:sz w:val="24"/>
                <w:szCs w:val="24"/>
              </w:rPr>
              <w:t>Service</w:t>
            </w:r>
          </w:p>
        </w:tc>
        <w:tc>
          <w:tcPr>
            <w:tcW w:w="4961" w:type="dxa"/>
            <w:shd w:val="clear" w:color="auto" w:fill="002060"/>
          </w:tcPr>
          <w:p w14:paraId="4B6C340E" w14:textId="103747A3" w:rsidR="003C122E" w:rsidRPr="00556797" w:rsidRDefault="00786B55" w:rsidP="005B5DBD">
            <w:pPr>
              <w:jc w:val="both"/>
              <w:rPr>
                <w:rFonts w:ascii="Arial" w:hAnsi="Arial" w:cs="Arial"/>
                <w:b/>
                <w:bCs/>
                <w:color w:val="FFFFFF" w:themeColor="background1"/>
                <w:sz w:val="24"/>
                <w:szCs w:val="24"/>
              </w:rPr>
            </w:pPr>
            <w:r>
              <w:rPr>
                <w:rFonts w:ascii="Arial" w:hAnsi="Arial" w:cs="Arial"/>
                <w:b/>
                <w:bCs/>
                <w:color w:val="FFFFFF" w:themeColor="background1"/>
                <w:sz w:val="24"/>
                <w:szCs w:val="24"/>
              </w:rPr>
              <w:t>T</w:t>
            </w:r>
            <w:r w:rsidR="003C122E" w:rsidRPr="00556797">
              <w:rPr>
                <w:rFonts w:ascii="Arial" w:hAnsi="Arial" w:cs="Arial"/>
                <w:b/>
                <w:bCs/>
                <w:color w:val="FFFFFF" w:themeColor="background1"/>
                <w:sz w:val="24"/>
                <w:szCs w:val="24"/>
              </w:rPr>
              <w:t>ransition Date</w:t>
            </w:r>
          </w:p>
          <w:p w14:paraId="51EF2CFF" w14:textId="2A9258FA" w:rsidR="003C122E" w:rsidRPr="00556797" w:rsidRDefault="003C122E" w:rsidP="005B5DBD">
            <w:pPr>
              <w:jc w:val="both"/>
              <w:rPr>
                <w:rFonts w:ascii="Arial" w:hAnsi="Arial" w:cs="Arial"/>
                <w:b/>
                <w:bCs/>
                <w:color w:val="FFFFFF" w:themeColor="background1"/>
                <w:sz w:val="24"/>
                <w:szCs w:val="24"/>
              </w:rPr>
            </w:pPr>
          </w:p>
        </w:tc>
      </w:tr>
      <w:tr w:rsidR="003C122E" w:rsidRPr="005A06AA" w14:paraId="344917D1" w14:textId="77777777" w:rsidTr="00AA54A5">
        <w:tc>
          <w:tcPr>
            <w:tcW w:w="3827" w:type="dxa"/>
          </w:tcPr>
          <w:p w14:paraId="6AD62062" w14:textId="77777777" w:rsidR="003C122E" w:rsidRPr="005A06AA" w:rsidRDefault="003C122E" w:rsidP="00AA54A5">
            <w:pPr>
              <w:rPr>
                <w:rFonts w:ascii="Arial" w:hAnsi="Arial" w:cs="Arial"/>
                <w:sz w:val="24"/>
                <w:szCs w:val="24"/>
              </w:rPr>
            </w:pPr>
            <w:r w:rsidRPr="005A06AA">
              <w:rPr>
                <w:rFonts w:ascii="Arial" w:hAnsi="Arial" w:cs="Arial"/>
                <w:sz w:val="24"/>
                <w:szCs w:val="24"/>
              </w:rPr>
              <w:t>Level 3 Sexual Health Services</w:t>
            </w:r>
          </w:p>
          <w:p w14:paraId="767F7688" w14:textId="42CDC39C" w:rsidR="003C122E" w:rsidRPr="005A06AA" w:rsidRDefault="003C122E" w:rsidP="00AA54A5">
            <w:pPr>
              <w:rPr>
                <w:rFonts w:ascii="Arial" w:hAnsi="Arial" w:cs="Arial"/>
                <w:sz w:val="24"/>
                <w:szCs w:val="24"/>
              </w:rPr>
            </w:pPr>
          </w:p>
        </w:tc>
        <w:tc>
          <w:tcPr>
            <w:tcW w:w="4961" w:type="dxa"/>
          </w:tcPr>
          <w:p w14:paraId="12F3471B" w14:textId="481680C6" w:rsidR="003C122E" w:rsidRPr="005A06AA" w:rsidRDefault="00916829" w:rsidP="005B5DBD">
            <w:pPr>
              <w:jc w:val="both"/>
              <w:rPr>
                <w:rFonts w:ascii="Arial" w:hAnsi="Arial" w:cs="Arial"/>
                <w:sz w:val="24"/>
                <w:szCs w:val="24"/>
              </w:rPr>
            </w:pPr>
            <w:r>
              <w:rPr>
                <w:rFonts w:ascii="Arial" w:hAnsi="Arial" w:cs="Arial"/>
                <w:sz w:val="24"/>
                <w:szCs w:val="24"/>
              </w:rPr>
              <w:t xml:space="preserve">End of </w:t>
            </w:r>
            <w:r w:rsidR="00E05C91">
              <w:rPr>
                <w:rFonts w:ascii="Arial" w:hAnsi="Arial" w:cs="Arial"/>
                <w:sz w:val="24"/>
                <w:szCs w:val="24"/>
              </w:rPr>
              <w:t>March</w:t>
            </w:r>
            <w:r w:rsidR="003C122E" w:rsidRPr="005A06AA">
              <w:rPr>
                <w:rFonts w:ascii="Arial" w:hAnsi="Arial" w:cs="Arial"/>
                <w:sz w:val="24"/>
                <w:szCs w:val="24"/>
              </w:rPr>
              <w:t xml:space="preserve"> 2022</w:t>
            </w:r>
          </w:p>
        </w:tc>
      </w:tr>
      <w:tr w:rsidR="005B0A8D" w:rsidRPr="005A06AA" w14:paraId="07931D4E" w14:textId="77777777" w:rsidTr="00AA54A5">
        <w:tc>
          <w:tcPr>
            <w:tcW w:w="3827" w:type="dxa"/>
          </w:tcPr>
          <w:p w14:paraId="72A1FA12" w14:textId="77777777" w:rsidR="005B0A8D" w:rsidRPr="005A06AA" w:rsidRDefault="005B0A8D" w:rsidP="00AA54A5">
            <w:pPr>
              <w:rPr>
                <w:rFonts w:ascii="Arial" w:hAnsi="Arial" w:cs="Arial"/>
                <w:sz w:val="24"/>
                <w:szCs w:val="24"/>
              </w:rPr>
            </w:pPr>
            <w:r w:rsidRPr="005A06AA">
              <w:rPr>
                <w:rFonts w:ascii="Arial" w:hAnsi="Arial" w:cs="Arial"/>
                <w:sz w:val="24"/>
                <w:szCs w:val="24"/>
              </w:rPr>
              <w:t>Occupational Health</w:t>
            </w:r>
          </w:p>
          <w:p w14:paraId="1D2F3B87" w14:textId="5491A634" w:rsidR="005B0A8D" w:rsidRPr="005A06AA" w:rsidRDefault="005B0A8D" w:rsidP="00AA54A5">
            <w:pPr>
              <w:rPr>
                <w:rFonts w:ascii="Arial" w:hAnsi="Arial" w:cs="Arial"/>
                <w:sz w:val="24"/>
                <w:szCs w:val="24"/>
              </w:rPr>
            </w:pPr>
          </w:p>
        </w:tc>
        <w:tc>
          <w:tcPr>
            <w:tcW w:w="4961" w:type="dxa"/>
          </w:tcPr>
          <w:p w14:paraId="380B65B0" w14:textId="77606093" w:rsidR="005B0A8D" w:rsidRPr="005A06AA" w:rsidRDefault="00556797" w:rsidP="005B5DBD">
            <w:pPr>
              <w:jc w:val="both"/>
              <w:rPr>
                <w:rFonts w:ascii="Arial" w:hAnsi="Arial" w:cs="Arial"/>
                <w:sz w:val="24"/>
                <w:szCs w:val="24"/>
              </w:rPr>
            </w:pPr>
            <w:r>
              <w:rPr>
                <w:rFonts w:ascii="Arial" w:hAnsi="Arial" w:cs="Arial"/>
                <w:sz w:val="24"/>
                <w:szCs w:val="24"/>
              </w:rPr>
              <w:t>April</w:t>
            </w:r>
            <w:r w:rsidR="005B0A8D" w:rsidRPr="005A06AA">
              <w:rPr>
                <w:rFonts w:ascii="Arial" w:hAnsi="Arial" w:cs="Arial"/>
                <w:sz w:val="24"/>
                <w:szCs w:val="24"/>
              </w:rPr>
              <w:t xml:space="preserve"> 2022</w:t>
            </w:r>
          </w:p>
        </w:tc>
      </w:tr>
      <w:tr w:rsidR="005B0A8D" w:rsidRPr="005A06AA" w14:paraId="175B51B8" w14:textId="77777777" w:rsidTr="00AA54A5">
        <w:tc>
          <w:tcPr>
            <w:tcW w:w="3827" w:type="dxa"/>
          </w:tcPr>
          <w:p w14:paraId="25A72887" w14:textId="18CA9CF6" w:rsidR="005B0A8D" w:rsidRPr="005A06AA" w:rsidRDefault="005B0A8D" w:rsidP="00AA54A5">
            <w:pPr>
              <w:rPr>
                <w:rFonts w:ascii="Arial" w:hAnsi="Arial" w:cs="Arial"/>
                <w:sz w:val="24"/>
                <w:szCs w:val="24"/>
              </w:rPr>
            </w:pPr>
            <w:r w:rsidRPr="005A06AA">
              <w:rPr>
                <w:rFonts w:ascii="Arial" w:hAnsi="Arial" w:cs="Arial"/>
                <w:sz w:val="24"/>
                <w:szCs w:val="24"/>
              </w:rPr>
              <w:t>Sexual Assault and Referral Centres</w:t>
            </w:r>
          </w:p>
          <w:p w14:paraId="24613CDC" w14:textId="3050C520" w:rsidR="005B0A8D" w:rsidRPr="005A06AA" w:rsidRDefault="005B0A8D" w:rsidP="00AA54A5">
            <w:pPr>
              <w:rPr>
                <w:rFonts w:ascii="Arial" w:hAnsi="Arial" w:cs="Arial"/>
                <w:sz w:val="24"/>
                <w:szCs w:val="24"/>
              </w:rPr>
            </w:pPr>
          </w:p>
        </w:tc>
        <w:tc>
          <w:tcPr>
            <w:tcW w:w="4961" w:type="dxa"/>
          </w:tcPr>
          <w:p w14:paraId="41689B4A" w14:textId="16A82297" w:rsidR="005B0A8D" w:rsidRPr="005A06AA" w:rsidRDefault="00556797" w:rsidP="005B5DBD">
            <w:pPr>
              <w:jc w:val="both"/>
              <w:rPr>
                <w:rFonts w:ascii="Arial" w:hAnsi="Arial" w:cs="Arial"/>
                <w:sz w:val="24"/>
                <w:szCs w:val="24"/>
              </w:rPr>
            </w:pPr>
            <w:r>
              <w:rPr>
                <w:rFonts w:ascii="Arial" w:hAnsi="Arial" w:cs="Arial"/>
                <w:sz w:val="24"/>
                <w:szCs w:val="24"/>
              </w:rPr>
              <w:t>April</w:t>
            </w:r>
            <w:r w:rsidR="005B0A8D" w:rsidRPr="005A06AA">
              <w:rPr>
                <w:rFonts w:ascii="Arial" w:hAnsi="Arial" w:cs="Arial"/>
                <w:sz w:val="24"/>
                <w:szCs w:val="24"/>
              </w:rPr>
              <w:t xml:space="preserve"> 2022</w:t>
            </w:r>
          </w:p>
        </w:tc>
      </w:tr>
      <w:tr w:rsidR="009D51FB" w:rsidRPr="005A06AA" w14:paraId="0AE1D37D" w14:textId="77777777" w:rsidTr="00AA54A5">
        <w:tc>
          <w:tcPr>
            <w:tcW w:w="3827" w:type="dxa"/>
          </w:tcPr>
          <w:p w14:paraId="497245BF" w14:textId="77777777" w:rsidR="009D51FB" w:rsidRPr="005A06AA" w:rsidRDefault="009D51FB" w:rsidP="00AA54A5">
            <w:pPr>
              <w:rPr>
                <w:rFonts w:ascii="Arial" w:hAnsi="Arial" w:cs="Arial"/>
                <w:sz w:val="24"/>
                <w:szCs w:val="24"/>
              </w:rPr>
            </w:pPr>
            <w:r w:rsidRPr="005A06AA">
              <w:rPr>
                <w:rFonts w:ascii="Arial" w:hAnsi="Arial" w:cs="Arial"/>
                <w:sz w:val="24"/>
                <w:szCs w:val="24"/>
              </w:rPr>
              <w:t>Accident and Emergencies</w:t>
            </w:r>
          </w:p>
          <w:p w14:paraId="7328660F" w14:textId="77777777" w:rsidR="009D51FB" w:rsidRPr="005A06AA" w:rsidRDefault="009D51FB" w:rsidP="00AA54A5">
            <w:pPr>
              <w:rPr>
                <w:rFonts w:ascii="Arial" w:hAnsi="Arial" w:cs="Arial"/>
                <w:sz w:val="24"/>
                <w:szCs w:val="24"/>
              </w:rPr>
            </w:pPr>
          </w:p>
        </w:tc>
        <w:tc>
          <w:tcPr>
            <w:tcW w:w="4961" w:type="dxa"/>
          </w:tcPr>
          <w:p w14:paraId="6FE04C73" w14:textId="0939127C" w:rsidR="009D51FB" w:rsidRPr="005A06AA" w:rsidRDefault="005B5DBD" w:rsidP="005B5DBD">
            <w:pPr>
              <w:jc w:val="both"/>
              <w:rPr>
                <w:rFonts w:ascii="Arial" w:hAnsi="Arial" w:cs="Arial"/>
                <w:sz w:val="24"/>
                <w:szCs w:val="24"/>
              </w:rPr>
            </w:pPr>
            <w:r>
              <w:rPr>
                <w:rFonts w:ascii="Arial" w:hAnsi="Arial" w:cs="Arial"/>
                <w:sz w:val="24"/>
                <w:szCs w:val="24"/>
              </w:rPr>
              <w:t>July 2022</w:t>
            </w:r>
          </w:p>
        </w:tc>
      </w:tr>
    </w:tbl>
    <w:p w14:paraId="45ADC31F" w14:textId="362364D3" w:rsidR="00D22C0D" w:rsidRPr="005A06AA" w:rsidRDefault="00D22C0D" w:rsidP="005B5DBD">
      <w:pPr>
        <w:spacing w:after="0" w:line="240" w:lineRule="auto"/>
        <w:jc w:val="both"/>
        <w:rPr>
          <w:rFonts w:ascii="Arial" w:hAnsi="Arial" w:cs="Arial"/>
          <w:sz w:val="24"/>
          <w:szCs w:val="24"/>
        </w:rPr>
      </w:pPr>
    </w:p>
    <w:p w14:paraId="256C3538" w14:textId="0CE911D4" w:rsidR="005B35C8" w:rsidRPr="00063A22" w:rsidRDefault="005B5DBD" w:rsidP="005B5DBD">
      <w:pPr>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6.</w:t>
      </w:r>
      <w:r>
        <w:rPr>
          <w:rFonts w:ascii="Arial" w:eastAsia="Times New Roman" w:hAnsi="Arial" w:cs="Arial"/>
          <w:b/>
          <w:bCs/>
          <w:sz w:val="24"/>
          <w:szCs w:val="24"/>
        </w:rPr>
        <w:tab/>
      </w:r>
      <w:r w:rsidR="005B35C8" w:rsidRPr="00063A22">
        <w:rPr>
          <w:rFonts w:ascii="Arial" w:eastAsia="Times New Roman" w:hAnsi="Arial" w:cs="Arial"/>
          <w:b/>
          <w:bCs/>
          <w:sz w:val="24"/>
          <w:szCs w:val="24"/>
        </w:rPr>
        <w:t>How do</w:t>
      </w:r>
      <w:r w:rsidR="007A2FB6" w:rsidRPr="00063A22">
        <w:rPr>
          <w:rFonts w:ascii="Arial" w:eastAsia="Times New Roman" w:hAnsi="Arial" w:cs="Arial"/>
          <w:b/>
          <w:bCs/>
          <w:sz w:val="24"/>
          <w:szCs w:val="24"/>
        </w:rPr>
        <w:t>es our service</w:t>
      </w:r>
      <w:r w:rsidR="005B35C8" w:rsidRPr="00063A22">
        <w:rPr>
          <w:rFonts w:ascii="Arial" w:eastAsia="Times New Roman" w:hAnsi="Arial" w:cs="Arial"/>
          <w:b/>
          <w:bCs/>
          <w:sz w:val="24"/>
          <w:szCs w:val="24"/>
        </w:rPr>
        <w:t xml:space="preserve"> access the current packs whilst </w:t>
      </w:r>
      <w:r w:rsidR="00AA54A5">
        <w:rPr>
          <w:rFonts w:ascii="Arial" w:eastAsia="Times New Roman" w:hAnsi="Arial" w:cs="Arial"/>
          <w:b/>
          <w:bCs/>
          <w:sz w:val="24"/>
          <w:szCs w:val="24"/>
        </w:rPr>
        <w:t>transitioning</w:t>
      </w:r>
      <w:r w:rsidR="005B35C8" w:rsidRPr="00063A22">
        <w:rPr>
          <w:rFonts w:ascii="Arial" w:eastAsia="Times New Roman" w:hAnsi="Arial" w:cs="Arial"/>
          <w:b/>
          <w:bCs/>
          <w:sz w:val="24"/>
          <w:szCs w:val="24"/>
        </w:rPr>
        <w:t xml:space="preserve"> to the new 30-day packs?</w:t>
      </w:r>
    </w:p>
    <w:p w14:paraId="5DE81004" w14:textId="2197BB35" w:rsidR="00063A22" w:rsidRDefault="00063A22" w:rsidP="005B5DBD">
      <w:pPr>
        <w:spacing w:after="0" w:line="240" w:lineRule="auto"/>
        <w:jc w:val="both"/>
        <w:rPr>
          <w:rFonts w:ascii="Arial" w:eastAsia="Times New Roman" w:hAnsi="Arial" w:cs="Arial"/>
          <w:b/>
          <w:bCs/>
          <w:color w:val="002060"/>
          <w:sz w:val="24"/>
          <w:szCs w:val="24"/>
        </w:rPr>
      </w:pPr>
    </w:p>
    <w:p w14:paraId="54F5A6E9" w14:textId="57577613" w:rsidR="00063A22" w:rsidRPr="00063A22" w:rsidRDefault="005B5DBD" w:rsidP="005B5DBD">
      <w:pPr>
        <w:spacing w:after="0" w:line="240" w:lineRule="auto"/>
        <w:ind w:left="426"/>
        <w:jc w:val="both"/>
        <w:rPr>
          <w:rFonts w:ascii="Arial" w:eastAsia="Times New Roman" w:hAnsi="Arial" w:cs="Arial"/>
          <w:sz w:val="24"/>
          <w:szCs w:val="24"/>
        </w:rPr>
      </w:pPr>
      <w:r>
        <w:rPr>
          <w:rFonts w:ascii="Arial" w:eastAsia="Times New Roman" w:hAnsi="Arial" w:cs="Arial"/>
          <w:sz w:val="24"/>
          <w:szCs w:val="24"/>
        </w:rPr>
        <w:t>Services should c</w:t>
      </w:r>
      <w:r w:rsidR="00063A22" w:rsidRPr="00063A22">
        <w:rPr>
          <w:rFonts w:ascii="Arial" w:eastAsia="Times New Roman" w:hAnsi="Arial" w:cs="Arial"/>
          <w:sz w:val="24"/>
          <w:szCs w:val="24"/>
        </w:rPr>
        <w:t xml:space="preserve">ontinue to buy </w:t>
      </w:r>
      <w:r>
        <w:rPr>
          <w:rFonts w:ascii="Arial" w:eastAsia="Times New Roman" w:hAnsi="Arial" w:cs="Arial"/>
          <w:sz w:val="24"/>
          <w:szCs w:val="24"/>
        </w:rPr>
        <w:t xml:space="preserve">the packs </w:t>
      </w:r>
      <w:r w:rsidR="00063A22" w:rsidRPr="00063A22">
        <w:rPr>
          <w:rFonts w:ascii="Arial" w:eastAsia="Times New Roman" w:hAnsi="Arial" w:cs="Arial"/>
          <w:sz w:val="24"/>
          <w:szCs w:val="24"/>
        </w:rPr>
        <w:t>from the current supplier but note that these will not be ‘free’ at point of purchase</w:t>
      </w:r>
    </w:p>
    <w:p w14:paraId="2BCF4951" w14:textId="4A3C66D7" w:rsidR="009D51FB" w:rsidRPr="005A06AA" w:rsidRDefault="009D51FB" w:rsidP="005B5DBD">
      <w:pPr>
        <w:spacing w:after="0" w:line="240" w:lineRule="auto"/>
        <w:jc w:val="both"/>
        <w:rPr>
          <w:rFonts w:ascii="Arial" w:eastAsia="Times New Roman" w:hAnsi="Arial" w:cs="Arial"/>
          <w:b/>
          <w:bCs/>
          <w:color w:val="002060"/>
          <w:sz w:val="24"/>
          <w:szCs w:val="24"/>
        </w:rPr>
      </w:pPr>
    </w:p>
    <w:p w14:paraId="0A422BB6" w14:textId="7BE0E7A5" w:rsidR="009D51FB" w:rsidRDefault="005B5DBD" w:rsidP="005B5DBD">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7.    </w:t>
      </w:r>
      <w:r w:rsidR="009D51FB" w:rsidRPr="00063A22">
        <w:rPr>
          <w:rFonts w:ascii="Arial" w:eastAsia="Times New Roman" w:hAnsi="Arial" w:cs="Arial"/>
          <w:b/>
          <w:bCs/>
          <w:sz w:val="24"/>
          <w:szCs w:val="24"/>
        </w:rPr>
        <w:t>Will there be sufficient packs until the service transitions?</w:t>
      </w:r>
    </w:p>
    <w:p w14:paraId="3C2C2005" w14:textId="77777777" w:rsidR="00063A22" w:rsidRPr="00063A22" w:rsidRDefault="00063A22" w:rsidP="005B5DBD">
      <w:pPr>
        <w:spacing w:after="0" w:line="240" w:lineRule="auto"/>
        <w:jc w:val="both"/>
        <w:rPr>
          <w:rFonts w:ascii="Arial" w:eastAsia="Times New Roman" w:hAnsi="Arial" w:cs="Arial"/>
          <w:b/>
          <w:bCs/>
          <w:sz w:val="24"/>
          <w:szCs w:val="24"/>
        </w:rPr>
      </w:pPr>
    </w:p>
    <w:p w14:paraId="0A8CA64F" w14:textId="559E723D" w:rsidR="00063A22" w:rsidRPr="00063A22" w:rsidRDefault="005B5DBD" w:rsidP="005B5DBD">
      <w:pPr>
        <w:spacing w:after="0" w:line="240" w:lineRule="auto"/>
        <w:ind w:left="426"/>
        <w:jc w:val="both"/>
        <w:rPr>
          <w:rFonts w:ascii="Arial" w:eastAsia="Times New Roman" w:hAnsi="Arial" w:cs="Arial"/>
          <w:sz w:val="24"/>
          <w:szCs w:val="24"/>
        </w:rPr>
      </w:pPr>
      <w:r>
        <w:rPr>
          <w:rFonts w:ascii="Arial" w:eastAsia="Times New Roman" w:hAnsi="Arial" w:cs="Arial"/>
          <w:sz w:val="24"/>
          <w:szCs w:val="24"/>
        </w:rPr>
        <w:t>Services should l</w:t>
      </w:r>
      <w:r w:rsidR="00063A22" w:rsidRPr="00063A22">
        <w:rPr>
          <w:rFonts w:ascii="Arial" w:eastAsia="Times New Roman" w:hAnsi="Arial" w:cs="Arial"/>
          <w:sz w:val="24"/>
          <w:szCs w:val="24"/>
        </w:rPr>
        <w:t xml:space="preserve">iaise with </w:t>
      </w:r>
      <w:r>
        <w:rPr>
          <w:rFonts w:ascii="Arial" w:eastAsia="Times New Roman" w:hAnsi="Arial" w:cs="Arial"/>
          <w:sz w:val="24"/>
          <w:szCs w:val="24"/>
        </w:rPr>
        <w:t>the</w:t>
      </w:r>
      <w:r w:rsidR="00063A22" w:rsidRPr="00063A22">
        <w:rPr>
          <w:rFonts w:ascii="Arial" w:eastAsia="Times New Roman" w:hAnsi="Arial" w:cs="Arial"/>
          <w:sz w:val="24"/>
          <w:szCs w:val="24"/>
        </w:rPr>
        <w:t xml:space="preserve"> current supplier to order and stock </w:t>
      </w:r>
      <w:r w:rsidRPr="00063A22">
        <w:rPr>
          <w:rFonts w:ascii="Arial" w:eastAsia="Times New Roman" w:hAnsi="Arial" w:cs="Arial"/>
          <w:sz w:val="24"/>
          <w:szCs w:val="24"/>
        </w:rPr>
        <w:t>sufficient</w:t>
      </w:r>
      <w:r w:rsidR="00063A22" w:rsidRPr="00063A22">
        <w:rPr>
          <w:rFonts w:ascii="Arial" w:eastAsia="Times New Roman" w:hAnsi="Arial" w:cs="Arial"/>
          <w:sz w:val="24"/>
          <w:szCs w:val="24"/>
        </w:rPr>
        <w:t xml:space="preserve"> packs until you transition</w:t>
      </w:r>
      <w:r w:rsidR="00063A22">
        <w:rPr>
          <w:rFonts w:ascii="Arial" w:eastAsia="Times New Roman" w:hAnsi="Arial" w:cs="Arial"/>
          <w:sz w:val="24"/>
          <w:szCs w:val="24"/>
        </w:rPr>
        <w:t>.</w:t>
      </w:r>
    </w:p>
    <w:p w14:paraId="6B71E30A" w14:textId="1E580376" w:rsidR="009D51FB" w:rsidRDefault="009D51FB" w:rsidP="005B5DBD">
      <w:pPr>
        <w:spacing w:after="0" w:line="240" w:lineRule="auto"/>
        <w:jc w:val="both"/>
        <w:rPr>
          <w:rFonts w:ascii="Arial" w:eastAsia="Times New Roman" w:hAnsi="Arial" w:cs="Arial"/>
          <w:sz w:val="24"/>
          <w:szCs w:val="24"/>
        </w:rPr>
      </w:pPr>
    </w:p>
    <w:p w14:paraId="318995BE" w14:textId="064265A1" w:rsidR="00891FB8" w:rsidRDefault="00891FB8" w:rsidP="005B5DBD">
      <w:pPr>
        <w:spacing w:after="0" w:line="240" w:lineRule="auto"/>
        <w:jc w:val="both"/>
        <w:rPr>
          <w:rFonts w:ascii="Arial" w:eastAsia="Times New Roman" w:hAnsi="Arial" w:cs="Arial"/>
          <w:sz w:val="24"/>
          <w:szCs w:val="24"/>
        </w:rPr>
      </w:pPr>
    </w:p>
    <w:p w14:paraId="3C418F88" w14:textId="3A2C172B" w:rsidR="00891FB8" w:rsidRDefault="00891FB8" w:rsidP="005B5DBD">
      <w:pPr>
        <w:spacing w:after="0" w:line="240" w:lineRule="auto"/>
        <w:jc w:val="both"/>
        <w:rPr>
          <w:rFonts w:ascii="Arial" w:eastAsia="Times New Roman" w:hAnsi="Arial" w:cs="Arial"/>
          <w:sz w:val="24"/>
          <w:szCs w:val="24"/>
        </w:rPr>
      </w:pPr>
    </w:p>
    <w:p w14:paraId="4881A064" w14:textId="77777777" w:rsidR="00891FB8" w:rsidRPr="00063A22" w:rsidRDefault="00891FB8" w:rsidP="005B5DBD">
      <w:pPr>
        <w:spacing w:after="0" w:line="240" w:lineRule="auto"/>
        <w:jc w:val="both"/>
        <w:rPr>
          <w:rFonts w:ascii="Arial" w:eastAsia="Times New Roman" w:hAnsi="Arial" w:cs="Arial"/>
          <w:sz w:val="24"/>
          <w:szCs w:val="24"/>
        </w:rPr>
      </w:pPr>
    </w:p>
    <w:p w14:paraId="642AC30A" w14:textId="58547B96" w:rsidR="009D51FB" w:rsidRDefault="005B5DBD" w:rsidP="005B5DBD">
      <w:pPr>
        <w:tabs>
          <w:tab w:val="left" w:pos="567"/>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 xml:space="preserve">8.    </w:t>
      </w:r>
      <w:r w:rsidR="009D51FB" w:rsidRPr="00063A22">
        <w:rPr>
          <w:rFonts w:ascii="Arial" w:eastAsia="Times New Roman" w:hAnsi="Arial" w:cs="Arial"/>
          <w:b/>
          <w:bCs/>
          <w:sz w:val="24"/>
          <w:szCs w:val="24"/>
        </w:rPr>
        <w:t>What will happen to packs that are not used by the transition deadline?</w:t>
      </w:r>
    </w:p>
    <w:p w14:paraId="5580F58A" w14:textId="77777777" w:rsidR="00063A22" w:rsidRPr="00063A22" w:rsidRDefault="00063A22" w:rsidP="005B5DBD">
      <w:pPr>
        <w:spacing w:after="0" w:line="240" w:lineRule="auto"/>
        <w:jc w:val="both"/>
        <w:rPr>
          <w:rFonts w:ascii="Arial" w:eastAsia="Times New Roman" w:hAnsi="Arial" w:cs="Arial"/>
          <w:b/>
          <w:bCs/>
          <w:sz w:val="24"/>
          <w:szCs w:val="24"/>
        </w:rPr>
      </w:pPr>
    </w:p>
    <w:p w14:paraId="61FA76A4" w14:textId="02C867E2" w:rsidR="004778F3" w:rsidRPr="00063A22" w:rsidRDefault="00063A22" w:rsidP="005B5DBD">
      <w:pPr>
        <w:spacing w:after="0" w:line="240" w:lineRule="auto"/>
        <w:ind w:left="426"/>
        <w:jc w:val="both"/>
        <w:rPr>
          <w:rFonts w:ascii="Arial" w:eastAsia="Times New Roman" w:hAnsi="Arial" w:cs="Arial"/>
          <w:sz w:val="24"/>
          <w:szCs w:val="24"/>
        </w:rPr>
      </w:pPr>
      <w:r w:rsidRPr="00063A22">
        <w:rPr>
          <w:rFonts w:ascii="Arial" w:eastAsia="Times New Roman" w:hAnsi="Arial" w:cs="Arial"/>
          <w:sz w:val="24"/>
          <w:szCs w:val="24"/>
        </w:rPr>
        <w:t xml:space="preserve">Trusts and clinics should plan to use up </w:t>
      </w:r>
      <w:r w:rsidR="005B5DBD">
        <w:rPr>
          <w:rFonts w:ascii="Arial" w:eastAsia="Times New Roman" w:hAnsi="Arial" w:cs="Arial"/>
          <w:sz w:val="24"/>
          <w:szCs w:val="24"/>
        </w:rPr>
        <w:t xml:space="preserve">all </w:t>
      </w:r>
      <w:r w:rsidRPr="00063A22">
        <w:rPr>
          <w:rFonts w:ascii="Arial" w:eastAsia="Times New Roman" w:hAnsi="Arial" w:cs="Arial"/>
          <w:sz w:val="24"/>
          <w:szCs w:val="24"/>
        </w:rPr>
        <w:t xml:space="preserve">existing stock to avoid wastage. </w:t>
      </w:r>
    </w:p>
    <w:p w14:paraId="66BF1882" w14:textId="4C1C1203" w:rsidR="004778F3" w:rsidRPr="00063A22" w:rsidRDefault="004778F3" w:rsidP="005B5DBD">
      <w:pPr>
        <w:spacing w:after="0" w:line="240" w:lineRule="auto"/>
        <w:jc w:val="both"/>
        <w:rPr>
          <w:rFonts w:ascii="Arial" w:eastAsia="Times New Roman" w:hAnsi="Arial" w:cs="Arial"/>
          <w:sz w:val="24"/>
          <w:szCs w:val="24"/>
        </w:rPr>
      </w:pPr>
    </w:p>
    <w:p w14:paraId="02BD29E2" w14:textId="2161177D" w:rsidR="00120AD3" w:rsidRPr="005B5DBD" w:rsidRDefault="005B5DBD" w:rsidP="005B5DBD">
      <w:pPr>
        <w:spacing w:after="0" w:line="240" w:lineRule="auto"/>
        <w:jc w:val="both"/>
        <w:rPr>
          <w:rFonts w:ascii="Arial" w:eastAsia="Times New Roman" w:hAnsi="Arial" w:cs="Arial"/>
          <w:b/>
          <w:sz w:val="24"/>
          <w:szCs w:val="24"/>
        </w:rPr>
      </w:pPr>
      <w:r w:rsidRPr="0095265E">
        <w:rPr>
          <w:rFonts w:ascii="Arial" w:eastAsia="Times New Roman" w:hAnsi="Arial" w:cs="Arial"/>
          <w:b/>
          <w:sz w:val="24"/>
          <w:szCs w:val="24"/>
        </w:rPr>
        <w:t>9</w:t>
      </w:r>
      <w:r>
        <w:rPr>
          <w:rFonts w:ascii="Arial" w:eastAsia="Times New Roman" w:hAnsi="Arial" w:cs="Arial"/>
          <w:b/>
          <w:color w:val="002060"/>
          <w:sz w:val="24"/>
          <w:szCs w:val="24"/>
        </w:rPr>
        <w:t xml:space="preserve">.    </w:t>
      </w:r>
      <w:r w:rsidR="00E05C91" w:rsidRPr="00E05C91">
        <w:rPr>
          <w:rFonts w:ascii="Arial" w:eastAsia="Times New Roman" w:hAnsi="Arial" w:cs="Arial"/>
          <w:b/>
          <w:sz w:val="24"/>
          <w:szCs w:val="24"/>
        </w:rPr>
        <w:t xml:space="preserve">How </w:t>
      </w:r>
      <w:r w:rsidR="00E05C91">
        <w:rPr>
          <w:rFonts w:ascii="Arial" w:eastAsia="Times New Roman" w:hAnsi="Arial" w:cs="Arial"/>
          <w:b/>
          <w:sz w:val="24"/>
          <w:szCs w:val="24"/>
        </w:rPr>
        <w:t xml:space="preserve">can </w:t>
      </w:r>
      <w:r w:rsidR="00E05C91" w:rsidRPr="00E05C91">
        <w:rPr>
          <w:rFonts w:ascii="Arial" w:eastAsia="Times New Roman" w:hAnsi="Arial" w:cs="Arial"/>
          <w:b/>
          <w:sz w:val="24"/>
          <w:szCs w:val="24"/>
        </w:rPr>
        <w:t xml:space="preserve">services </w:t>
      </w:r>
      <w:r w:rsidR="00120AD3" w:rsidRPr="00E05C91">
        <w:rPr>
          <w:rFonts w:ascii="Arial" w:eastAsia="Times New Roman" w:hAnsi="Arial" w:cs="Arial"/>
          <w:b/>
          <w:sz w:val="24"/>
          <w:szCs w:val="24"/>
        </w:rPr>
        <w:t>access</w:t>
      </w:r>
      <w:r w:rsidR="00E05C91">
        <w:rPr>
          <w:rFonts w:ascii="Arial" w:eastAsia="Times New Roman" w:hAnsi="Arial" w:cs="Arial"/>
          <w:b/>
          <w:sz w:val="24"/>
          <w:szCs w:val="24"/>
        </w:rPr>
        <w:t xml:space="preserve"> the new</w:t>
      </w:r>
      <w:r w:rsidR="00120AD3" w:rsidRPr="00E05C91">
        <w:rPr>
          <w:rFonts w:ascii="Arial" w:eastAsia="Times New Roman" w:hAnsi="Arial" w:cs="Arial"/>
          <w:b/>
          <w:sz w:val="24"/>
          <w:szCs w:val="24"/>
        </w:rPr>
        <w:t xml:space="preserve"> PEP </w:t>
      </w:r>
      <w:r w:rsidR="005B35C8" w:rsidRPr="00E05C91">
        <w:rPr>
          <w:rFonts w:ascii="Arial" w:eastAsia="Times New Roman" w:hAnsi="Arial" w:cs="Arial"/>
          <w:b/>
          <w:sz w:val="24"/>
          <w:szCs w:val="24"/>
        </w:rPr>
        <w:t>packs</w:t>
      </w:r>
      <w:r w:rsidR="00120AD3" w:rsidRPr="005B5DBD">
        <w:rPr>
          <w:rFonts w:ascii="Arial" w:eastAsia="Times New Roman" w:hAnsi="Arial" w:cs="Arial"/>
          <w:b/>
          <w:sz w:val="24"/>
          <w:szCs w:val="24"/>
        </w:rPr>
        <w:t xml:space="preserve">? </w:t>
      </w:r>
    </w:p>
    <w:p w14:paraId="7C7E0901" w14:textId="77777777" w:rsidR="00E078E7" w:rsidRPr="005A06AA" w:rsidRDefault="00E078E7" w:rsidP="005B5DBD">
      <w:pPr>
        <w:spacing w:after="0" w:line="240" w:lineRule="auto"/>
        <w:jc w:val="both"/>
        <w:rPr>
          <w:rFonts w:ascii="Arial" w:eastAsia="Times New Roman" w:hAnsi="Arial" w:cs="Arial"/>
          <w:b/>
          <w:sz w:val="24"/>
          <w:szCs w:val="24"/>
        </w:rPr>
      </w:pPr>
    </w:p>
    <w:p w14:paraId="28954828" w14:textId="2D998A53" w:rsidR="00063A22" w:rsidRDefault="00E05C91" w:rsidP="005B5DBD">
      <w:p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 xml:space="preserve">Services can access the new PEP packs from the </w:t>
      </w:r>
      <w:r w:rsidRPr="00FB4262">
        <w:rPr>
          <w:rFonts w:ascii="Arial" w:eastAsia="Times New Roman" w:hAnsi="Arial" w:cs="Arial"/>
          <w:b/>
          <w:sz w:val="24"/>
          <w:szCs w:val="24"/>
          <w:u w:val="single"/>
        </w:rPr>
        <w:t>1</w:t>
      </w:r>
      <w:r w:rsidRPr="00FB4262">
        <w:rPr>
          <w:rFonts w:ascii="Arial" w:eastAsia="Times New Roman" w:hAnsi="Arial" w:cs="Arial"/>
          <w:b/>
          <w:sz w:val="24"/>
          <w:szCs w:val="24"/>
          <w:u w:val="single"/>
          <w:vertAlign w:val="superscript"/>
        </w:rPr>
        <w:t>st</w:t>
      </w:r>
      <w:r w:rsidRPr="00FB4262">
        <w:rPr>
          <w:rFonts w:ascii="Arial" w:eastAsia="Times New Roman" w:hAnsi="Arial" w:cs="Arial"/>
          <w:b/>
          <w:sz w:val="24"/>
          <w:szCs w:val="24"/>
          <w:u w:val="single"/>
        </w:rPr>
        <w:t xml:space="preserve"> March 2022</w:t>
      </w:r>
      <w:r>
        <w:rPr>
          <w:rFonts w:ascii="Arial" w:eastAsia="Times New Roman" w:hAnsi="Arial" w:cs="Arial"/>
          <w:bCs/>
          <w:sz w:val="24"/>
          <w:szCs w:val="24"/>
        </w:rPr>
        <w:t xml:space="preserve">, </w:t>
      </w:r>
      <w:r w:rsidRPr="00063A22">
        <w:rPr>
          <w:rFonts w:ascii="Arial" w:eastAsia="Times New Roman" w:hAnsi="Arial" w:cs="Arial"/>
          <w:bCs/>
          <w:sz w:val="24"/>
          <w:szCs w:val="24"/>
        </w:rPr>
        <w:t>if</w:t>
      </w:r>
      <w:r w:rsidR="00063A22" w:rsidRPr="00063A22">
        <w:rPr>
          <w:rFonts w:ascii="Arial" w:eastAsia="Times New Roman" w:hAnsi="Arial" w:cs="Arial"/>
          <w:bCs/>
          <w:sz w:val="24"/>
          <w:szCs w:val="24"/>
        </w:rPr>
        <w:t xml:space="preserve"> you normally order medicines from an NHS hospital </w:t>
      </w:r>
      <w:r w:rsidR="0095265E" w:rsidRPr="00063A22">
        <w:rPr>
          <w:rFonts w:ascii="Arial" w:eastAsia="Times New Roman" w:hAnsi="Arial" w:cs="Arial"/>
          <w:bCs/>
          <w:sz w:val="24"/>
          <w:szCs w:val="24"/>
        </w:rPr>
        <w:t>pharmacy,</w:t>
      </w:r>
      <w:r w:rsidR="00063A22" w:rsidRPr="00063A22">
        <w:rPr>
          <w:rFonts w:ascii="Arial" w:eastAsia="Times New Roman" w:hAnsi="Arial" w:cs="Arial"/>
          <w:bCs/>
          <w:sz w:val="24"/>
          <w:szCs w:val="24"/>
        </w:rPr>
        <w:t xml:space="preserve"> then continue to do </w:t>
      </w:r>
      <w:r w:rsidR="0095265E">
        <w:rPr>
          <w:rFonts w:ascii="Arial" w:eastAsia="Times New Roman" w:hAnsi="Arial" w:cs="Arial"/>
          <w:bCs/>
          <w:sz w:val="24"/>
          <w:szCs w:val="24"/>
        </w:rPr>
        <w:t xml:space="preserve">so </w:t>
      </w:r>
      <w:r w:rsidR="00063A22" w:rsidRPr="00063A22">
        <w:rPr>
          <w:rFonts w:ascii="Arial" w:eastAsia="Times New Roman" w:hAnsi="Arial" w:cs="Arial"/>
          <w:bCs/>
          <w:sz w:val="24"/>
          <w:szCs w:val="24"/>
        </w:rPr>
        <w:t xml:space="preserve">and ask them to set up the new order system with </w:t>
      </w:r>
      <w:r w:rsidR="0095265E" w:rsidRPr="00063A22">
        <w:rPr>
          <w:rFonts w:ascii="Arial" w:eastAsia="Times New Roman" w:hAnsi="Arial" w:cs="Arial"/>
          <w:bCs/>
          <w:sz w:val="24"/>
          <w:szCs w:val="24"/>
        </w:rPr>
        <w:t>Mawd</w:t>
      </w:r>
      <w:r w:rsidR="00454ADB">
        <w:rPr>
          <w:rFonts w:ascii="Arial" w:eastAsia="Times New Roman" w:hAnsi="Arial" w:cs="Arial"/>
          <w:bCs/>
          <w:sz w:val="24"/>
          <w:szCs w:val="24"/>
        </w:rPr>
        <w:t>s</w:t>
      </w:r>
      <w:r w:rsidR="0095265E" w:rsidRPr="00063A22">
        <w:rPr>
          <w:rFonts w:ascii="Arial" w:eastAsia="Times New Roman" w:hAnsi="Arial" w:cs="Arial"/>
          <w:bCs/>
          <w:sz w:val="24"/>
          <w:szCs w:val="24"/>
        </w:rPr>
        <w:t>leys</w:t>
      </w:r>
      <w:r w:rsidR="00063A22" w:rsidRPr="00063A22">
        <w:rPr>
          <w:rFonts w:ascii="Arial" w:eastAsia="Times New Roman" w:hAnsi="Arial" w:cs="Arial"/>
          <w:bCs/>
          <w:sz w:val="24"/>
          <w:szCs w:val="24"/>
        </w:rPr>
        <w:t xml:space="preserve">. </w:t>
      </w:r>
    </w:p>
    <w:p w14:paraId="69D982B7" w14:textId="77777777" w:rsidR="00FB4262" w:rsidRDefault="00FB4262" w:rsidP="005B5DBD">
      <w:pPr>
        <w:spacing w:after="0" w:line="240" w:lineRule="auto"/>
        <w:ind w:left="426"/>
        <w:jc w:val="both"/>
        <w:rPr>
          <w:rFonts w:ascii="Arial" w:eastAsia="Times New Roman" w:hAnsi="Arial" w:cs="Arial"/>
          <w:bCs/>
          <w:sz w:val="24"/>
          <w:szCs w:val="24"/>
        </w:rPr>
      </w:pPr>
    </w:p>
    <w:p w14:paraId="30B321E6" w14:textId="5B370C23" w:rsidR="00063A22" w:rsidRPr="00063A22" w:rsidRDefault="00063A22" w:rsidP="005B5DBD">
      <w:pPr>
        <w:spacing w:after="0" w:line="240" w:lineRule="auto"/>
        <w:ind w:left="426"/>
        <w:jc w:val="both"/>
        <w:rPr>
          <w:rFonts w:ascii="Arial" w:eastAsia="Times New Roman" w:hAnsi="Arial" w:cs="Arial"/>
          <w:bCs/>
          <w:sz w:val="24"/>
          <w:szCs w:val="24"/>
        </w:rPr>
      </w:pPr>
      <w:r w:rsidRPr="00063A22">
        <w:rPr>
          <w:rFonts w:ascii="Arial" w:eastAsia="Times New Roman" w:hAnsi="Arial" w:cs="Arial"/>
          <w:bCs/>
          <w:sz w:val="24"/>
          <w:szCs w:val="24"/>
        </w:rPr>
        <w:t>Non-NHS services can access PEP packs by placing orders directly with Ma</w:t>
      </w:r>
      <w:r w:rsidR="003E7FC3">
        <w:rPr>
          <w:rFonts w:ascii="Arial" w:eastAsia="Times New Roman" w:hAnsi="Arial" w:cs="Arial"/>
          <w:bCs/>
          <w:sz w:val="24"/>
          <w:szCs w:val="24"/>
        </w:rPr>
        <w:t>w</w:t>
      </w:r>
      <w:r w:rsidRPr="00063A22">
        <w:rPr>
          <w:rFonts w:ascii="Arial" w:eastAsia="Times New Roman" w:hAnsi="Arial" w:cs="Arial"/>
          <w:bCs/>
          <w:sz w:val="24"/>
          <w:szCs w:val="24"/>
        </w:rPr>
        <w:t>d</w:t>
      </w:r>
      <w:r w:rsidR="00454ADB">
        <w:rPr>
          <w:rFonts w:ascii="Arial" w:eastAsia="Times New Roman" w:hAnsi="Arial" w:cs="Arial"/>
          <w:bCs/>
          <w:sz w:val="24"/>
          <w:szCs w:val="24"/>
        </w:rPr>
        <w:t>s</w:t>
      </w:r>
      <w:r w:rsidRPr="00063A22">
        <w:rPr>
          <w:rFonts w:ascii="Arial" w:eastAsia="Times New Roman" w:hAnsi="Arial" w:cs="Arial"/>
          <w:bCs/>
          <w:sz w:val="24"/>
          <w:szCs w:val="24"/>
        </w:rPr>
        <w:t xml:space="preserve">leys Clinical Services in place of their current supplier. </w:t>
      </w:r>
    </w:p>
    <w:p w14:paraId="632854FC" w14:textId="77777777" w:rsidR="00063A22" w:rsidRPr="00063A22" w:rsidRDefault="00063A22" w:rsidP="005B5DBD">
      <w:pPr>
        <w:spacing w:after="0" w:line="240" w:lineRule="auto"/>
        <w:ind w:left="567"/>
        <w:jc w:val="both"/>
        <w:rPr>
          <w:rFonts w:ascii="Arial" w:eastAsia="Times New Roman" w:hAnsi="Arial" w:cs="Arial"/>
          <w:bCs/>
          <w:sz w:val="24"/>
          <w:szCs w:val="24"/>
        </w:rPr>
      </w:pPr>
    </w:p>
    <w:p w14:paraId="1D513EFC" w14:textId="6C56C763" w:rsidR="00063A22" w:rsidRDefault="00063A22" w:rsidP="0095265E">
      <w:pPr>
        <w:spacing w:after="0" w:line="240" w:lineRule="auto"/>
        <w:ind w:left="426"/>
        <w:jc w:val="both"/>
        <w:rPr>
          <w:rFonts w:ascii="Arial" w:eastAsia="Times New Roman" w:hAnsi="Arial" w:cs="Arial"/>
          <w:bCs/>
          <w:sz w:val="24"/>
          <w:szCs w:val="24"/>
        </w:rPr>
      </w:pPr>
      <w:r w:rsidRPr="00063A22">
        <w:rPr>
          <w:rFonts w:ascii="Arial" w:eastAsia="Times New Roman" w:hAnsi="Arial" w:cs="Arial"/>
          <w:bCs/>
          <w:sz w:val="24"/>
          <w:szCs w:val="24"/>
        </w:rPr>
        <w:t>NHS Hospital Pharmacies and non-NHS services will need to set up an account up by contacting customer services on:</w:t>
      </w:r>
    </w:p>
    <w:p w14:paraId="0360C5D8" w14:textId="77777777" w:rsidR="00063A22" w:rsidRPr="00063A22" w:rsidRDefault="00063A22" w:rsidP="005B5DBD">
      <w:pPr>
        <w:spacing w:after="0" w:line="240" w:lineRule="auto"/>
        <w:jc w:val="both"/>
        <w:rPr>
          <w:rFonts w:ascii="Arial" w:eastAsia="Times New Roman" w:hAnsi="Arial" w:cs="Arial"/>
          <w:bCs/>
          <w:sz w:val="24"/>
          <w:szCs w:val="24"/>
        </w:rPr>
      </w:pPr>
    </w:p>
    <w:p w14:paraId="50EA118D" w14:textId="7709DB57" w:rsidR="00063A22" w:rsidRPr="00431340" w:rsidRDefault="00063A22" w:rsidP="0095265E">
      <w:pPr>
        <w:spacing w:after="0" w:line="240" w:lineRule="auto"/>
        <w:ind w:left="426"/>
        <w:jc w:val="both"/>
        <w:rPr>
          <w:rFonts w:ascii="Arial" w:eastAsia="Times New Roman" w:hAnsi="Arial" w:cs="Arial"/>
          <w:b/>
          <w:bCs/>
          <w:color w:val="4472C4" w:themeColor="accent1"/>
          <w:sz w:val="24"/>
          <w:szCs w:val="24"/>
        </w:rPr>
      </w:pPr>
      <w:r w:rsidRPr="00063A22">
        <w:rPr>
          <w:rFonts w:ascii="Arial" w:eastAsia="Times New Roman" w:hAnsi="Arial" w:cs="Arial"/>
          <w:bCs/>
          <w:sz w:val="24"/>
          <w:szCs w:val="24"/>
        </w:rPr>
        <w:t xml:space="preserve">e-mail: </w:t>
      </w:r>
      <w:hyperlink r:id="rId10" w:history="1">
        <w:r w:rsidRPr="00431340">
          <w:rPr>
            <w:rStyle w:val="Hyperlink"/>
            <w:rFonts w:ascii="Arial" w:eastAsia="Times New Roman" w:hAnsi="Arial" w:cs="Arial"/>
            <w:color w:val="4472C4" w:themeColor="accent1"/>
            <w:sz w:val="24"/>
            <w:szCs w:val="24"/>
          </w:rPr>
          <w:t>overlabellingcustomerservices@mawdsleys.co.uk</w:t>
        </w:r>
      </w:hyperlink>
    </w:p>
    <w:p w14:paraId="3EB03D6B" w14:textId="77777777" w:rsidR="00063A22" w:rsidRPr="00063A22" w:rsidRDefault="00063A22" w:rsidP="0095265E">
      <w:pPr>
        <w:spacing w:after="0" w:line="240" w:lineRule="auto"/>
        <w:ind w:left="426"/>
        <w:jc w:val="both"/>
        <w:rPr>
          <w:rFonts w:ascii="Arial" w:eastAsia="Times New Roman" w:hAnsi="Arial" w:cs="Arial"/>
          <w:bCs/>
          <w:sz w:val="24"/>
          <w:szCs w:val="24"/>
        </w:rPr>
      </w:pPr>
      <w:r w:rsidRPr="00063A22">
        <w:rPr>
          <w:rFonts w:ascii="Arial" w:eastAsia="Times New Roman" w:hAnsi="Arial" w:cs="Arial"/>
          <w:bCs/>
          <w:sz w:val="24"/>
          <w:szCs w:val="24"/>
        </w:rPr>
        <w:t>Telephone: 01302 553010</w:t>
      </w:r>
    </w:p>
    <w:p w14:paraId="0A30FAA1" w14:textId="77777777" w:rsidR="00063A22" w:rsidRPr="00063A22" w:rsidRDefault="00063A22" w:rsidP="0095265E">
      <w:pPr>
        <w:spacing w:after="0" w:line="240" w:lineRule="auto"/>
        <w:ind w:left="426"/>
        <w:jc w:val="both"/>
        <w:rPr>
          <w:rFonts w:ascii="Arial" w:eastAsia="Times New Roman" w:hAnsi="Arial" w:cs="Arial"/>
          <w:bCs/>
          <w:sz w:val="24"/>
          <w:szCs w:val="24"/>
        </w:rPr>
      </w:pPr>
    </w:p>
    <w:p w14:paraId="476C294A" w14:textId="1DEFA2E8" w:rsidR="00556797" w:rsidRDefault="00063A22" w:rsidP="0095265E">
      <w:pPr>
        <w:spacing w:after="0" w:line="240" w:lineRule="auto"/>
        <w:ind w:left="426"/>
        <w:jc w:val="both"/>
        <w:rPr>
          <w:rFonts w:ascii="Arial" w:eastAsia="Times New Roman" w:hAnsi="Arial" w:cs="Arial"/>
          <w:bCs/>
          <w:sz w:val="24"/>
          <w:szCs w:val="24"/>
        </w:rPr>
      </w:pPr>
      <w:r w:rsidRPr="00063A22">
        <w:rPr>
          <w:rFonts w:ascii="Arial" w:eastAsia="Times New Roman" w:hAnsi="Arial" w:cs="Arial"/>
          <w:bCs/>
          <w:sz w:val="24"/>
          <w:szCs w:val="24"/>
        </w:rPr>
        <w:t xml:space="preserve">Services will be issued with </w:t>
      </w:r>
      <w:r w:rsidR="00281EFD">
        <w:rPr>
          <w:rFonts w:ascii="Arial" w:eastAsia="Times New Roman" w:hAnsi="Arial" w:cs="Arial"/>
          <w:bCs/>
          <w:sz w:val="24"/>
          <w:szCs w:val="24"/>
        </w:rPr>
        <w:t>f</w:t>
      </w:r>
      <w:r w:rsidRPr="00063A22">
        <w:rPr>
          <w:rFonts w:ascii="Arial" w:eastAsia="Times New Roman" w:hAnsi="Arial" w:cs="Arial"/>
          <w:bCs/>
          <w:sz w:val="24"/>
          <w:szCs w:val="24"/>
        </w:rPr>
        <w:t>urther easy to follow guidance on how to order</w:t>
      </w:r>
      <w:r>
        <w:rPr>
          <w:rFonts w:ascii="Arial" w:eastAsia="Times New Roman" w:hAnsi="Arial" w:cs="Arial"/>
          <w:bCs/>
          <w:sz w:val="24"/>
          <w:szCs w:val="24"/>
        </w:rPr>
        <w:t>.</w:t>
      </w:r>
    </w:p>
    <w:p w14:paraId="0635E5AD" w14:textId="5CB8CAE1" w:rsidR="00556797" w:rsidRDefault="00556797" w:rsidP="005B5DBD">
      <w:pPr>
        <w:spacing w:after="0" w:line="240" w:lineRule="auto"/>
        <w:jc w:val="both"/>
        <w:rPr>
          <w:rFonts w:ascii="Arial" w:eastAsia="Times New Roman" w:hAnsi="Arial" w:cs="Arial"/>
          <w:bCs/>
          <w:sz w:val="24"/>
          <w:szCs w:val="24"/>
        </w:rPr>
      </w:pPr>
    </w:p>
    <w:p w14:paraId="08B73473" w14:textId="413D005F" w:rsidR="00556797" w:rsidRDefault="0095265E" w:rsidP="005B5DBD">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10.  </w:t>
      </w:r>
      <w:r w:rsidR="00523FA6" w:rsidRPr="00556797">
        <w:rPr>
          <w:rFonts w:ascii="Arial" w:eastAsia="Times New Roman" w:hAnsi="Arial" w:cs="Arial"/>
          <w:b/>
          <w:sz w:val="24"/>
          <w:szCs w:val="24"/>
        </w:rPr>
        <w:t>What will be included in the PEP pack?</w:t>
      </w:r>
    </w:p>
    <w:p w14:paraId="193719C6" w14:textId="4422DE4E" w:rsidR="00523FA6" w:rsidRPr="00556797" w:rsidRDefault="00523FA6" w:rsidP="005B5DBD">
      <w:pPr>
        <w:spacing w:after="0" w:line="240" w:lineRule="auto"/>
        <w:jc w:val="both"/>
        <w:rPr>
          <w:rFonts w:ascii="Arial" w:eastAsia="Times New Roman" w:hAnsi="Arial" w:cs="Arial"/>
          <w:b/>
          <w:sz w:val="24"/>
          <w:szCs w:val="24"/>
        </w:rPr>
      </w:pPr>
    </w:p>
    <w:p w14:paraId="1B03C544" w14:textId="514DEB96" w:rsidR="00523FA6" w:rsidRDefault="00C75DD6" w:rsidP="0095265E">
      <w:p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The sealed bag will contain a</w:t>
      </w:r>
      <w:r w:rsidR="006F5799" w:rsidRPr="005A06AA">
        <w:rPr>
          <w:rFonts w:ascii="Arial" w:eastAsia="Times New Roman" w:hAnsi="Arial" w:cs="Arial"/>
          <w:bCs/>
          <w:sz w:val="24"/>
          <w:szCs w:val="24"/>
        </w:rPr>
        <w:t xml:space="preserve"> </w:t>
      </w:r>
      <w:r w:rsidR="00556797" w:rsidRPr="005A06AA">
        <w:rPr>
          <w:rFonts w:ascii="Arial" w:eastAsia="Times New Roman" w:hAnsi="Arial" w:cs="Arial"/>
          <w:bCs/>
          <w:sz w:val="24"/>
          <w:szCs w:val="24"/>
        </w:rPr>
        <w:t>30-day</w:t>
      </w:r>
      <w:r w:rsidR="006F5799" w:rsidRPr="005A06AA">
        <w:rPr>
          <w:rFonts w:ascii="Arial" w:eastAsia="Times New Roman" w:hAnsi="Arial" w:cs="Arial"/>
          <w:bCs/>
          <w:sz w:val="24"/>
          <w:szCs w:val="24"/>
        </w:rPr>
        <w:t xml:space="preserve"> pack of </w:t>
      </w:r>
      <w:r>
        <w:rPr>
          <w:rFonts w:ascii="Arial" w:eastAsia="Times New Roman" w:hAnsi="Arial" w:cs="Arial"/>
          <w:bCs/>
          <w:sz w:val="24"/>
          <w:szCs w:val="24"/>
        </w:rPr>
        <w:t xml:space="preserve">co-formulated </w:t>
      </w:r>
      <w:r w:rsidR="00471701" w:rsidRPr="005A06AA">
        <w:rPr>
          <w:rFonts w:ascii="Arial" w:eastAsia="Times New Roman" w:hAnsi="Arial" w:cs="Arial"/>
          <w:bCs/>
          <w:sz w:val="24"/>
          <w:szCs w:val="24"/>
        </w:rPr>
        <w:t xml:space="preserve">emtricitabine </w:t>
      </w:r>
      <w:r w:rsidR="00471701">
        <w:rPr>
          <w:rFonts w:ascii="Arial" w:eastAsia="Times New Roman" w:hAnsi="Arial" w:cs="Arial"/>
          <w:bCs/>
          <w:sz w:val="24"/>
          <w:szCs w:val="24"/>
        </w:rPr>
        <w:t>200 mg/</w:t>
      </w:r>
      <w:r w:rsidR="00471701" w:rsidRPr="005A06AA">
        <w:rPr>
          <w:rFonts w:ascii="Arial" w:eastAsia="Times New Roman" w:hAnsi="Arial" w:cs="Arial"/>
          <w:bCs/>
          <w:sz w:val="24"/>
          <w:szCs w:val="24"/>
        </w:rPr>
        <w:t xml:space="preserve"> </w:t>
      </w:r>
      <w:r w:rsidR="00471701">
        <w:rPr>
          <w:rFonts w:ascii="Arial" w:eastAsia="Times New Roman" w:hAnsi="Arial" w:cs="Arial"/>
          <w:bCs/>
          <w:sz w:val="24"/>
          <w:szCs w:val="24"/>
        </w:rPr>
        <w:t>t</w:t>
      </w:r>
      <w:r w:rsidR="006F5799" w:rsidRPr="005A06AA">
        <w:rPr>
          <w:rFonts w:ascii="Arial" w:eastAsia="Times New Roman" w:hAnsi="Arial" w:cs="Arial"/>
          <w:bCs/>
          <w:sz w:val="24"/>
          <w:szCs w:val="24"/>
        </w:rPr>
        <w:t xml:space="preserve">enofovir </w:t>
      </w:r>
      <w:r w:rsidR="00930E1E" w:rsidRPr="00D75DC0">
        <w:rPr>
          <w:rFonts w:ascii="Arial" w:eastAsia="Times New Roman" w:hAnsi="Arial" w:cs="Arial"/>
          <w:bCs/>
          <w:sz w:val="24"/>
          <w:szCs w:val="24"/>
        </w:rPr>
        <w:t>disoproxil</w:t>
      </w:r>
      <w:r w:rsidR="00930E1E">
        <w:rPr>
          <w:rFonts w:ascii="Arial" w:eastAsia="Times New Roman" w:hAnsi="Arial" w:cs="Arial"/>
          <w:bCs/>
          <w:sz w:val="24"/>
          <w:szCs w:val="24"/>
        </w:rPr>
        <w:t xml:space="preserve"> </w:t>
      </w:r>
      <w:r w:rsidR="00281EFD">
        <w:rPr>
          <w:rFonts w:ascii="Arial" w:eastAsia="Times New Roman" w:hAnsi="Arial" w:cs="Arial"/>
          <w:bCs/>
          <w:sz w:val="24"/>
          <w:szCs w:val="24"/>
        </w:rPr>
        <w:t>245 mg</w:t>
      </w:r>
      <w:r>
        <w:rPr>
          <w:rFonts w:ascii="Arial" w:eastAsia="Times New Roman" w:hAnsi="Arial" w:cs="Arial"/>
          <w:bCs/>
          <w:sz w:val="24"/>
          <w:szCs w:val="24"/>
        </w:rPr>
        <w:t>,</w:t>
      </w:r>
      <w:r w:rsidR="006F5799" w:rsidRPr="005A06AA">
        <w:rPr>
          <w:rFonts w:ascii="Arial" w:eastAsia="Times New Roman" w:hAnsi="Arial" w:cs="Arial"/>
          <w:bCs/>
          <w:sz w:val="24"/>
          <w:szCs w:val="24"/>
        </w:rPr>
        <w:t xml:space="preserve"> a </w:t>
      </w:r>
      <w:r w:rsidR="00556797" w:rsidRPr="005A06AA">
        <w:rPr>
          <w:rFonts w:ascii="Arial" w:eastAsia="Times New Roman" w:hAnsi="Arial" w:cs="Arial"/>
          <w:bCs/>
          <w:sz w:val="24"/>
          <w:szCs w:val="24"/>
        </w:rPr>
        <w:t>30-day</w:t>
      </w:r>
      <w:r w:rsidR="006F5799" w:rsidRPr="005A06AA">
        <w:rPr>
          <w:rFonts w:ascii="Arial" w:eastAsia="Times New Roman" w:hAnsi="Arial" w:cs="Arial"/>
          <w:bCs/>
          <w:sz w:val="24"/>
          <w:szCs w:val="24"/>
        </w:rPr>
        <w:t xml:space="preserve"> pack of raltegravir 600mg tablets</w:t>
      </w:r>
      <w:r w:rsidR="0095265E">
        <w:rPr>
          <w:rFonts w:ascii="Arial" w:eastAsia="Times New Roman" w:hAnsi="Arial" w:cs="Arial"/>
          <w:bCs/>
          <w:sz w:val="24"/>
          <w:szCs w:val="24"/>
        </w:rPr>
        <w:t xml:space="preserve"> and a p</w:t>
      </w:r>
      <w:r w:rsidR="006F5799" w:rsidRPr="005A06AA">
        <w:rPr>
          <w:rFonts w:ascii="Arial" w:eastAsia="Times New Roman" w:hAnsi="Arial" w:cs="Arial"/>
          <w:bCs/>
          <w:sz w:val="24"/>
          <w:szCs w:val="24"/>
        </w:rPr>
        <w:t>atient information leaflet</w:t>
      </w:r>
      <w:r>
        <w:rPr>
          <w:rFonts w:ascii="Arial" w:eastAsia="Times New Roman" w:hAnsi="Arial" w:cs="Arial"/>
          <w:bCs/>
          <w:sz w:val="24"/>
          <w:szCs w:val="24"/>
        </w:rPr>
        <w:t xml:space="preserve"> explaining how to take PEP</w:t>
      </w:r>
      <w:r w:rsidR="006F5799" w:rsidRPr="005A06AA">
        <w:rPr>
          <w:rFonts w:ascii="Arial" w:eastAsia="Times New Roman" w:hAnsi="Arial" w:cs="Arial"/>
          <w:bCs/>
          <w:sz w:val="24"/>
          <w:szCs w:val="24"/>
        </w:rPr>
        <w:t xml:space="preserve">.  </w:t>
      </w:r>
    </w:p>
    <w:p w14:paraId="097BEF0F" w14:textId="77777777" w:rsidR="00B41739" w:rsidRPr="00B41739" w:rsidRDefault="00B41739" w:rsidP="0095265E">
      <w:pPr>
        <w:spacing w:after="0" w:line="240" w:lineRule="auto"/>
        <w:ind w:left="426"/>
        <w:jc w:val="both"/>
        <w:rPr>
          <w:rFonts w:ascii="Arial" w:eastAsia="Times New Roman" w:hAnsi="Arial" w:cs="Arial"/>
          <w:b/>
          <w:sz w:val="24"/>
          <w:szCs w:val="24"/>
        </w:rPr>
      </w:pPr>
    </w:p>
    <w:bookmarkStart w:id="2" w:name="_Hlk93564388"/>
    <w:p w14:paraId="5BA32D10" w14:textId="671C3FD6" w:rsidR="0095265E" w:rsidRDefault="00891FB8" w:rsidP="0095265E">
      <w:p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fldChar w:fldCharType="begin"/>
      </w:r>
      <w:r>
        <w:rPr>
          <w:rFonts w:ascii="Arial" w:eastAsia="Times New Roman" w:hAnsi="Arial" w:cs="Arial"/>
          <w:bCs/>
          <w:sz w:val="24"/>
          <w:szCs w:val="24"/>
        </w:rPr>
        <w:instrText xml:space="preserve"> HYPERLINK "</w:instrText>
      </w:r>
      <w:r w:rsidRPr="00891FB8">
        <w:rPr>
          <w:rFonts w:ascii="Arial" w:eastAsia="Times New Roman" w:hAnsi="Arial" w:cs="Arial"/>
          <w:bCs/>
          <w:sz w:val="24"/>
          <w:szCs w:val="24"/>
        </w:rPr>
        <w:instrText>https://hivpa.org/wp-content/uploads/2021/04/HIVPA-PEP-PIL-April-2021-generic-TDF-FTC-RAL-OD-Final.pdf</w:instrText>
      </w:r>
      <w:r>
        <w:rPr>
          <w:rFonts w:ascii="Arial" w:eastAsia="Times New Roman" w:hAnsi="Arial" w:cs="Arial"/>
          <w:bCs/>
          <w:sz w:val="24"/>
          <w:szCs w:val="24"/>
        </w:rPr>
        <w:instrText xml:space="preserve">" </w:instrText>
      </w:r>
      <w:r>
        <w:rPr>
          <w:rFonts w:ascii="Arial" w:eastAsia="Times New Roman" w:hAnsi="Arial" w:cs="Arial"/>
          <w:bCs/>
          <w:sz w:val="24"/>
          <w:szCs w:val="24"/>
        </w:rPr>
        <w:fldChar w:fldCharType="separate"/>
      </w:r>
      <w:r w:rsidRPr="00023D5A">
        <w:rPr>
          <w:rStyle w:val="Hyperlink"/>
          <w:rFonts w:ascii="Arial" w:eastAsia="Times New Roman" w:hAnsi="Arial" w:cs="Arial"/>
          <w:bCs/>
          <w:sz w:val="24"/>
          <w:szCs w:val="24"/>
        </w:rPr>
        <w:t>https://hivpa.org/wp-content/uploads/2021/04/HIVPA-PEP-PIL-April-2021-generic-TDF-FTC-RAL-OD-Final.pdf</w:t>
      </w:r>
      <w:r>
        <w:rPr>
          <w:rFonts w:ascii="Arial" w:eastAsia="Times New Roman" w:hAnsi="Arial" w:cs="Arial"/>
          <w:bCs/>
          <w:sz w:val="24"/>
          <w:szCs w:val="24"/>
        </w:rPr>
        <w:fldChar w:fldCharType="end"/>
      </w:r>
    </w:p>
    <w:bookmarkEnd w:id="2"/>
    <w:p w14:paraId="49B8A0EE" w14:textId="77777777" w:rsidR="00891FB8" w:rsidRDefault="00891FB8" w:rsidP="0095265E">
      <w:pPr>
        <w:spacing w:after="0" w:line="240" w:lineRule="auto"/>
        <w:ind w:left="426"/>
        <w:jc w:val="both"/>
        <w:rPr>
          <w:rFonts w:ascii="Arial" w:eastAsia="Times New Roman" w:hAnsi="Arial" w:cs="Arial"/>
          <w:bCs/>
          <w:sz w:val="24"/>
          <w:szCs w:val="24"/>
        </w:rPr>
      </w:pPr>
    </w:p>
    <w:p w14:paraId="377C44DB" w14:textId="1734CE55" w:rsidR="004778F3" w:rsidRDefault="0095265E" w:rsidP="0095265E">
      <w:pPr>
        <w:spacing w:after="0" w:line="240" w:lineRule="auto"/>
        <w:ind w:left="426" w:hanging="426"/>
        <w:jc w:val="both"/>
        <w:rPr>
          <w:rFonts w:ascii="Arial" w:eastAsia="Times New Roman" w:hAnsi="Arial" w:cs="Arial"/>
          <w:b/>
          <w:sz w:val="24"/>
          <w:szCs w:val="24"/>
        </w:rPr>
      </w:pPr>
      <w:r>
        <w:rPr>
          <w:rFonts w:ascii="Arial" w:eastAsia="Times New Roman" w:hAnsi="Arial" w:cs="Arial"/>
          <w:b/>
          <w:sz w:val="24"/>
          <w:szCs w:val="24"/>
        </w:rPr>
        <w:t>11.</w:t>
      </w:r>
      <w:r>
        <w:rPr>
          <w:rFonts w:ascii="Arial" w:eastAsia="Times New Roman" w:hAnsi="Arial" w:cs="Arial"/>
          <w:b/>
          <w:sz w:val="24"/>
          <w:szCs w:val="24"/>
        </w:rPr>
        <w:tab/>
      </w:r>
      <w:r w:rsidR="004778F3" w:rsidRPr="00556797">
        <w:rPr>
          <w:rFonts w:ascii="Arial" w:eastAsia="Times New Roman" w:hAnsi="Arial" w:cs="Arial"/>
          <w:b/>
          <w:sz w:val="24"/>
          <w:szCs w:val="24"/>
        </w:rPr>
        <w:t xml:space="preserve">Will </w:t>
      </w:r>
      <w:r w:rsidR="00E8050E">
        <w:rPr>
          <w:rFonts w:ascii="Arial" w:eastAsia="Times New Roman" w:hAnsi="Arial" w:cs="Arial"/>
          <w:b/>
          <w:sz w:val="24"/>
          <w:szCs w:val="24"/>
        </w:rPr>
        <w:t>services be</w:t>
      </w:r>
      <w:r w:rsidR="004778F3" w:rsidRPr="00556797">
        <w:rPr>
          <w:rFonts w:ascii="Arial" w:eastAsia="Times New Roman" w:hAnsi="Arial" w:cs="Arial"/>
          <w:b/>
          <w:sz w:val="24"/>
          <w:szCs w:val="24"/>
        </w:rPr>
        <w:t xml:space="preserve"> reimbursed for </w:t>
      </w:r>
      <w:r w:rsidR="00063A22">
        <w:rPr>
          <w:rFonts w:ascii="Arial" w:eastAsia="Times New Roman" w:hAnsi="Arial" w:cs="Arial"/>
          <w:b/>
          <w:sz w:val="24"/>
          <w:szCs w:val="24"/>
        </w:rPr>
        <w:t xml:space="preserve">non- standard </w:t>
      </w:r>
      <w:r w:rsidR="004778F3" w:rsidRPr="00556797">
        <w:rPr>
          <w:rFonts w:ascii="Arial" w:eastAsia="Times New Roman" w:hAnsi="Arial" w:cs="Arial"/>
          <w:b/>
          <w:sz w:val="24"/>
          <w:szCs w:val="24"/>
        </w:rPr>
        <w:t>packs during the transition?</w:t>
      </w:r>
    </w:p>
    <w:p w14:paraId="1404CA3A" w14:textId="77777777" w:rsidR="00556797" w:rsidRPr="00556797" w:rsidRDefault="00556797" w:rsidP="005B5DBD">
      <w:pPr>
        <w:spacing w:after="0" w:line="240" w:lineRule="auto"/>
        <w:jc w:val="both"/>
        <w:rPr>
          <w:rFonts w:ascii="Arial" w:eastAsia="Times New Roman" w:hAnsi="Arial" w:cs="Arial"/>
          <w:b/>
          <w:sz w:val="24"/>
          <w:szCs w:val="24"/>
        </w:rPr>
      </w:pPr>
    </w:p>
    <w:p w14:paraId="356A5CDA" w14:textId="58D846F8" w:rsidR="004778F3" w:rsidRPr="005A06AA" w:rsidRDefault="004778F3" w:rsidP="0095265E">
      <w:pPr>
        <w:spacing w:after="0" w:line="240" w:lineRule="auto"/>
        <w:ind w:left="426"/>
        <w:jc w:val="both"/>
        <w:rPr>
          <w:rFonts w:ascii="Arial" w:eastAsia="Times New Roman" w:hAnsi="Arial" w:cs="Arial"/>
          <w:bCs/>
          <w:sz w:val="24"/>
          <w:szCs w:val="24"/>
        </w:rPr>
      </w:pPr>
      <w:r w:rsidRPr="005A06AA">
        <w:rPr>
          <w:rFonts w:ascii="Arial" w:eastAsia="Times New Roman" w:hAnsi="Arial" w:cs="Arial"/>
          <w:bCs/>
          <w:sz w:val="24"/>
          <w:szCs w:val="24"/>
        </w:rPr>
        <w:t xml:space="preserve">Yes, </w:t>
      </w:r>
      <w:r w:rsidR="00523FA6" w:rsidRPr="005A06AA">
        <w:rPr>
          <w:rFonts w:ascii="Arial" w:eastAsia="Times New Roman" w:hAnsi="Arial" w:cs="Arial"/>
          <w:bCs/>
          <w:sz w:val="24"/>
          <w:szCs w:val="24"/>
        </w:rPr>
        <w:t>services wil</w:t>
      </w:r>
      <w:r w:rsidR="00992B4C" w:rsidRPr="005A06AA">
        <w:rPr>
          <w:rFonts w:ascii="Arial" w:eastAsia="Times New Roman" w:hAnsi="Arial" w:cs="Arial"/>
          <w:bCs/>
          <w:sz w:val="24"/>
          <w:szCs w:val="24"/>
        </w:rPr>
        <w:t xml:space="preserve">l continue to be reimbursed for </w:t>
      </w:r>
      <w:r w:rsidR="00523FA6" w:rsidRPr="005A06AA">
        <w:rPr>
          <w:rFonts w:ascii="Arial" w:eastAsia="Times New Roman" w:hAnsi="Arial" w:cs="Arial"/>
          <w:bCs/>
          <w:sz w:val="24"/>
          <w:szCs w:val="24"/>
        </w:rPr>
        <w:t xml:space="preserve">PEP packs </w:t>
      </w:r>
      <w:r w:rsidRPr="005A06AA">
        <w:rPr>
          <w:rFonts w:ascii="Arial" w:eastAsia="Times New Roman" w:hAnsi="Arial" w:cs="Arial"/>
          <w:bCs/>
          <w:sz w:val="24"/>
          <w:szCs w:val="24"/>
        </w:rPr>
        <w:t>until the transition date</w:t>
      </w:r>
      <w:r w:rsidR="00523FA6" w:rsidRPr="005A06AA">
        <w:rPr>
          <w:rFonts w:ascii="Arial" w:eastAsia="Times New Roman" w:hAnsi="Arial" w:cs="Arial"/>
          <w:bCs/>
          <w:sz w:val="24"/>
          <w:szCs w:val="24"/>
        </w:rPr>
        <w:t xml:space="preserve"> outlined above.</w:t>
      </w:r>
      <w:r w:rsidRPr="005A06AA">
        <w:rPr>
          <w:rFonts w:ascii="Arial" w:eastAsia="Times New Roman" w:hAnsi="Arial" w:cs="Arial"/>
          <w:bCs/>
          <w:sz w:val="24"/>
          <w:szCs w:val="24"/>
        </w:rPr>
        <w:t xml:space="preserve"> </w:t>
      </w:r>
    </w:p>
    <w:p w14:paraId="4C78E220" w14:textId="77777777" w:rsidR="004778F3" w:rsidRPr="005A06AA" w:rsidRDefault="004778F3" w:rsidP="005B5DBD">
      <w:pPr>
        <w:spacing w:after="0" w:line="240" w:lineRule="auto"/>
        <w:jc w:val="both"/>
        <w:rPr>
          <w:rFonts w:ascii="Arial" w:eastAsia="Times New Roman" w:hAnsi="Arial" w:cs="Arial"/>
          <w:b/>
          <w:sz w:val="24"/>
          <w:szCs w:val="24"/>
        </w:rPr>
      </w:pPr>
    </w:p>
    <w:p w14:paraId="74B821B2" w14:textId="58A55B7A" w:rsidR="004778F3" w:rsidRPr="00556797" w:rsidRDefault="0095265E" w:rsidP="005B5DBD">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12.  </w:t>
      </w:r>
      <w:r w:rsidR="004778F3" w:rsidRPr="00556797">
        <w:rPr>
          <w:rFonts w:ascii="Arial" w:eastAsia="Times New Roman" w:hAnsi="Arial" w:cs="Arial"/>
          <w:b/>
          <w:sz w:val="24"/>
          <w:szCs w:val="24"/>
        </w:rPr>
        <w:t>How will services get reimbursed after the transition date?</w:t>
      </w:r>
    </w:p>
    <w:p w14:paraId="56F1A06D" w14:textId="77777777" w:rsidR="004778F3" w:rsidRPr="005A06AA" w:rsidRDefault="004778F3" w:rsidP="005B5DBD">
      <w:pPr>
        <w:spacing w:after="0" w:line="240" w:lineRule="auto"/>
        <w:jc w:val="both"/>
        <w:rPr>
          <w:rFonts w:ascii="Arial" w:eastAsia="Times New Roman" w:hAnsi="Arial" w:cs="Arial"/>
          <w:b/>
          <w:color w:val="5B9BD5" w:themeColor="accent5"/>
          <w:sz w:val="24"/>
          <w:szCs w:val="24"/>
        </w:rPr>
      </w:pPr>
    </w:p>
    <w:p w14:paraId="0EA44BB2" w14:textId="6C3C84D0" w:rsidR="004778F3" w:rsidRPr="005A06AA" w:rsidRDefault="00005156" w:rsidP="0095265E">
      <w:pPr>
        <w:spacing w:after="0" w:line="240" w:lineRule="auto"/>
        <w:ind w:left="426"/>
        <w:jc w:val="both"/>
        <w:rPr>
          <w:rFonts w:ascii="Arial" w:eastAsia="Times New Roman" w:hAnsi="Arial" w:cs="Arial"/>
          <w:bCs/>
          <w:sz w:val="24"/>
          <w:szCs w:val="24"/>
        </w:rPr>
      </w:pPr>
      <w:r>
        <w:rPr>
          <w:rFonts w:ascii="Arial" w:eastAsia="Times New Roman" w:hAnsi="Arial" w:cs="Arial"/>
          <w:bCs/>
          <w:sz w:val="24"/>
          <w:szCs w:val="24"/>
        </w:rPr>
        <w:t xml:space="preserve">The same process for reimbursement will apply as per the current </w:t>
      </w:r>
      <w:r w:rsidR="004778F3" w:rsidRPr="005A06AA">
        <w:rPr>
          <w:rFonts w:ascii="Arial" w:eastAsia="Times New Roman" w:hAnsi="Arial" w:cs="Arial"/>
          <w:bCs/>
          <w:sz w:val="24"/>
          <w:szCs w:val="24"/>
        </w:rPr>
        <w:t>PEP</w:t>
      </w:r>
      <w:r>
        <w:rPr>
          <w:rFonts w:ascii="Arial" w:eastAsia="Times New Roman" w:hAnsi="Arial" w:cs="Arial"/>
          <w:bCs/>
          <w:sz w:val="24"/>
          <w:szCs w:val="24"/>
        </w:rPr>
        <w:t xml:space="preserve"> packs. Services will need to submit and invoice to NHSEI for reimbursement.</w:t>
      </w:r>
      <w:r w:rsidR="004778F3" w:rsidRPr="005A06AA">
        <w:rPr>
          <w:rFonts w:ascii="Arial" w:eastAsia="Times New Roman" w:hAnsi="Arial" w:cs="Arial"/>
          <w:bCs/>
          <w:sz w:val="24"/>
          <w:szCs w:val="24"/>
        </w:rPr>
        <w:t xml:space="preserve"> </w:t>
      </w:r>
    </w:p>
    <w:p w14:paraId="4FF893D3" w14:textId="77777777" w:rsidR="004778F3" w:rsidRPr="005A06AA" w:rsidRDefault="004778F3" w:rsidP="0095265E">
      <w:pPr>
        <w:spacing w:after="0" w:line="240" w:lineRule="auto"/>
        <w:ind w:left="426"/>
        <w:jc w:val="both"/>
        <w:rPr>
          <w:rFonts w:ascii="Arial" w:eastAsia="Times New Roman" w:hAnsi="Arial" w:cs="Arial"/>
          <w:bCs/>
          <w:sz w:val="24"/>
          <w:szCs w:val="24"/>
        </w:rPr>
      </w:pPr>
    </w:p>
    <w:p w14:paraId="63AEDE82" w14:textId="68C01E1D" w:rsidR="004778F3" w:rsidRDefault="004778F3" w:rsidP="005B5DBD">
      <w:pPr>
        <w:spacing w:after="0" w:line="240" w:lineRule="auto"/>
        <w:jc w:val="both"/>
        <w:rPr>
          <w:rFonts w:ascii="Arial" w:eastAsia="Times New Roman" w:hAnsi="Arial" w:cs="Arial"/>
          <w:b/>
          <w:color w:val="5B9BD5" w:themeColor="accent5"/>
          <w:sz w:val="24"/>
          <w:szCs w:val="24"/>
        </w:rPr>
      </w:pPr>
    </w:p>
    <w:p w14:paraId="2D5036CC" w14:textId="77777777" w:rsidR="00005156" w:rsidRDefault="00005156" w:rsidP="005B5DBD">
      <w:pPr>
        <w:spacing w:after="0" w:line="240" w:lineRule="auto"/>
        <w:jc w:val="both"/>
        <w:rPr>
          <w:rFonts w:ascii="Arial" w:eastAsia="Times New Roman" w:hAnsi="Arial" w:cs="Arial"/>
          <w:b/>
          <w:color w:val="5B9BD5" w:themeColor="accent5"/>
          <w:sz w:val="24"/>
          <w:szCs w:val="24"/>
        </w:rPr>
      </w:pPr>
    </w:p>
    <w:p w14:paraId="1747DC62" w14:textId="3ADE4B7B" w:rsidR="00891FB8" w:rsidRDefault="00891FB8" w:rsidP="005B5DBD">
      <w:pPr>
        <w:spacing w:after="0" w:line="240" w:lineRule="auto"/>
        <w:jc w:val="both"/>
        <w:rPr>
          <w:rFonts w:ascii="Arial" w:eastAsia="Times New Roman" w:hAnsi="Arial" w:cs="Arial"/>
          <w:b/>
          <w:color w:val="5B9BD5" w:themeColor="accent5"/>
          <w:sz w:val="24"/>
          <w:szCs w:val="24"/>
        </w:rPr>
      </w:pPr>
    </w:p>
    <w:p w14:paraId="7D028A24" w14:textId="657A8CD3" w:rsidR="00891FB8" w:rsidRDefault="00891FB8" w:rsidP="005B5DBD">
      <w:pPr>
        <w:spacing w:after="0" w:line="240" w:lineRule="auto"/>
        <w:jc w:val="both"/>
        <w:rPr>
          <w:rFonts w:ascii="Arial" w:eastAsia="Times New Roman" w:hAnsi="Arial" w:cs="Arial"/>
          <w:b/>
          <w:color w:val="5B9BD5" w:themeColor="accent5"/>
          <w:sz w:val="24"/>
          <w:szCs w:val="24"/>
        </w:rPr>
      </w:pPr>
    </w:p>
    <w:p w14:paraId="29795D56" w14:textId="2FFE6830" w:rsidR="00891FB8" w:rsidRDefault="00891FB8" w:rsidP="005B5DBD">
      <w:pPr>
        <w:spacing w:after="0" w:line="240" w:lineRule="auto"/>
        <w:jc w:val="both"/>
        <w:rPr>
          <w:rFonts w:ascii="Arial" w:eastAsia="Times New Roman" w:hAnsi="Arial" w:cs="Arial"/>
          <w:b/>
          <w:color w:val="5B9BD5" w:themeColor="accent5"/>
          <w:sz w:val="24"/>
          <w:szCs w:val="24"/>
        </w:rPr>
      </w:pPr>
    </w:p>
    <w:p w14:paraId="4DEFB8E7" w14:textId="009549FE" w:rsidR="00891FB8" w:rsidRDefault="00891FB8" w:rsidP="005B5DBD">
      <w:pPr>
        <w:spacing w:after="0" w:line="240" w:lineRule="auto"/>
        <w:jc w:val="both"/>
        <w:rPr>
          <w:rFonts w:ascii="Arial" w:eastAsia="Times New Roman" w:hAnsi="Arial" w:cs="Arial"/>
          <w:b/>
          <w:color w:val="5B9BD5" w:themeColor="accent5"/>
          <w:sz w:val="24"/>
          <w:szCs w:val="24"/>
        </w:rPr>
      </w:pPr>
    </w:p>
    <w:p w14:paraId="7A44411A" w14:textId="27828C9E" w:rsidR="00891FB8" w:rsidRDefault="00891FB8" w:rsidP="005B5DBD">
      <w:pPr>
        <w:spacing w:after="0" w:line="240" w:lineRule="auto"/>
        <w:jc w:val="both"/>
        <w:rPr>
          <w:rFonts w:ascii="Arial" w:eastAsia="Times New Roman" w:hAnsi="Arial" w:cs="Arial"/>
          <w:b/>
          <w:color w:val="5B9BD5" w:themeColor="accent5"/>
          <w:sz w:val="24"/>
          <w:szCs w:val="24"/>
        </w:rPr>
      </w:pPr>
    </w:p>
    <w:p w14:paraId="56594650" w14:textId="39EB5EC1" w:rsidR="00891FB8" w:rsidRDefault="00891FB8" w:rsidP="007952C0">
      <w:pPr>
        <w:spacing w:after="0" w:line="240" w:lineRule="auto"/>
        <w:ind w:left="567"/>
        <w:jc w:val="both"/>
        <w:rPr>
          <w:rFonts w:ascii="Arial" w:eastAsia="Times New Roman" w:hAnsi="Arial" w:cs="Arial"/>
          <w:b/>
          <w:color w:val="5B9BD5" w:themeColor="accent5"/>
          <w:sz w:val="24"/>
          <w:szCs w:val="24"/>
        </w:rPr>
      </w:pPr>
    </w:p>
    <w:p w14:paraId="159ED6FA" w14:textId="77777777" w:rsidR="00891FB8" w:rsidRPr="005A06AA" w:rsidRDefault="00891FB8" w:rsidP="005B5DBD">
      <w:pPr>
        <w:spacing w:after="0" w:line="240" w:lineRule="auto"/>
        <w:jc w:val="both"/>
        <w:rPr>
          <w:rFonts w:ascii="Arial" w:eastAsia="Times New Roman" w:hAnsi="Arial" w:cs="Arial"/>
          <w:b/>
          <w:color w:val="5B9BD5" w:themeColor="accent5"/>
          <w:sz w:val="24"/>
          <w:szCs w:val="24"/>
        </w:rPr>
      </w:pPr>
    </w:p>
    <w:p w14:paraId="0318FAA3" w14:textId="5FDC60A7" w:rsidR="007A2FB6" w:rsidRDefault="0095265E" w:rsidP="0095265E">
      <w:pPr>
        <w:spacing w:after="0" w:line="240" w:lineRule="auto"/>
        <w:ind w:left="426" w:hanging="426"/>
        <w:jc w:val="both"/>
        <w:rPr>
          <w:rFonts w:ascii="Arial" w:eastAsia="Times New Roman" w:hAnsi="Arial" w:cs="Arial"/>
          <w:b/>
          <w:sz w:val="24"/>
          <w:szCs w:val="24"/>
        </w:rPr>
      </w:pPr>
      <w:r>
        <w:rPr>
          <w:rFonts w:ascii="Arial" w:eastAsia="Times New Roman" w:hAnsi="Arial" w:cs="Arial"/>
          <w:b/>
          <w:sz w:val="24"/>
          <w:szCs w:val="24"/>
        </w:rPr>
        <w:t>13.</w:t>
      </w:r>
      <w:r>
        <w:rPr>
          <w:rFonts w:ascii="Arial" w:eastAsia="Times New Roman" w:hAnsi="Arial" w:cs="Arial"/>
          <w:b/>
          <w:sz w:val="24"/>
          <w:szCs w:val="24"/>
        </w:rPr>
        <w:tab/>
      </w:r>
      <w:r w:rsidR="007A2FB6" w:rsidRPr="00902711">
        <w:rPr>
          <w:rFonts w:ascii="Arial" w:eastAsia="Times New Roman" w:hAnsi="Arial" w:cs="Arial"/>
          <w:b/>
          <w:sz w:val="24"/>
          <w:szCs w:val="24"/>
        </w:rPr>
        <w:t>Is there a minimum/maximum order quantity?</w:t>
      </w:r>
    </w:p>
    <w:p w14:paraId="2474D557" w14:textId="312928F2" w:rsidR="00E8050E" w:rsidRDefault="00E8050E" w:rsidP="0095265E">
      <w:pPr>
        <w:spacing w:after="0" w:line="240" w:lineRule="auto"/>
        <w:ind w:left="426" w:hanging="426"/>
        <w:jc w:val="both"/>
        <w:rPr>
          <w:rFonts w:ascii="Arial" w:eastAsia="Times New Roman" w:hAnsi="Arial" w:cs="Arial"/>
          <w:b/>
          <w:sz w:val="24"/>
          <w:szCs w:val="24"/>
        </w:rPr>
      </w:pPr>
    </w:p>
    <w:p w14:paraId="4FEF0333" w14:textId="7100C68E" w:rsidR="00902711" w:rsidRDefault="00902711" w:rsidP="00902711">
      <w:pPr>
        <w:spacing w:after="0" w:line="240" w:lineRule="auto"/>
        <w:ind w:left="426"/>
        <w:jc w:val="both"/>
        <w:rPr>
          <w:rFonts w:ascii="Arial" w:eastAsia="Times New Roman" w:hAnsi="Arial" w:cs="Arial"/>
          <w:b/>
          <w:sz w:val="24"/>
          <w:szCs w:val="24"/>
        </w:rPr>
      </w:pPr>
      <w:r w:rsidRPr="00902711">
        <w:rPr>
          <w:rFonts w:ascii="Arial" w:eastAsia="Times New Roman" w:hAnsi="Arial" w:cs="Arial"/>
          <w:b/>
          <w:sz w:val="24"/>
          <w:szCs w:val="24"/>
        </w:rPr>
        <w:t>Minimum</w:t>
      </w:r>
      <w:r w:rsidR="00916829">
        <w:rPr>
          <w:rFonts w:ascii="Arial" w:eastAsia="Times New Roman" w:hAnsi="Arial" w:cs="Arial"/>
          <w:b/>
          <w:sz w:val="24"/>
          <w:szCs w:val="24"/>
        </w:rPr>
        <w:t>/</w:t>
      </w:r>
      <w:r w:rsidR="00891FB8">
        <w:rPr>
          <w:rFonts w:ascii="Arial" w:eastAsia="Times New Roman" w:hAnsi="Arial" w:cs="Arial"/>
          <w:b/>
          <w:sz w:val="24"/>
          <w:szCs w:val="24"/>
        </w:rPr>
        <w:t>m</w:t>
      </w:r>
      <w:r w:rsidR="00916829">
        <w:rPr>
          <w:rFonts w:ascii="Arial" w:eastAsia="Times New Roman" w:hAnsi="Arial" w:cs="Arial"/>
          <w:b/>
          <w:sz w:val="24"/>
          <w:szCs w:val="24"/>
        </w:rPr>
        <w:t>aximum</w:t>
      </w:r>
      <w:r w:rsidRPr="00902711">
        <w:rPr>
          <w:rFonts w:ascii="Arial" w:eastAsia="Times New Roman" w:hAnsi="Arial" w:cs="Arial"/>
          <w:b/>
          <w:sz w:val="24"/>
          <w:szCs w:val="24"/>
        </w:rPr>
        <w:t xml:space="preserve"> orders</w:t>
      </w:r>
    </w:p>
    <w:p w14:paraId="5A57491D" w14:textId="77777777" w:rsidR="00902711" w:rsidRPr="00902711" w:rsidRDefault="00902711" w:rsidP="00902711">
      <w:pPr>
        <w:spacing w:after="0" w:line="240" w:lineRule="auto"/>
        <w:ind w:left="426"/>
        <w:jc w:val="both"/>
        <w:rPr>
          <w:rFonts w:ascii="Arial" w:eastAsia="Times New Roman" w:hAnsi="Arial" w:cs="Arial"/>
          <w:b/>
          <w:sz w:val="24"/>
          <w:szCs w:val="24"/>
        </w:rPr>
      </w:pPr>
    </w:p>
    <w:p w14:paraId="4D1755B8" w14:textId="3553C17E" w:rsidR="00902711" w:rsidRDefault="00902711" w:rsidP="00902711">
      <w:pPr>
        <w:spacing w:after="0" w:line="240" w:lineRule="auto"/>
        <w:ind w:left="426"/>
        <w:jc w:val="both"/>
        <w:rPr>
          <w:rFonts w:ascii="Arial" w:eastAsia="Times New Roman" w:hAnsi="Arial" w:cs="Arial"/>
          <w:bCs/>
          <w:sz w:val="24"/>
          <w:szCs w:val="24"/>
        </w:rPr>
      </w:pPr>
      <w:r w:rsidRPr="00902711">
        <w:rPr>
          <w:rFonts w:ascii="Arial" w:eastAsia="Times New Roman" w:hAnsi="Arial" w:cs="Arial"/>
          <w:bCs/>
          <w:sz w:val="24"/>
          <w:szCs w:val="24"/>
        </w:rPr>
        <w:t xml:space="preserve">Mawdsleys do not apply a delivery cost for orders of 30 packs or more. Therefore, a minimum order volume (MOV) of 30 packs is requested unless this amount seems excessive and is likely to go out of date before being used. </w:t>
      </w:r>
    </w:p>
    <w:p w14:paraId="275268D5" w14:textId="77777777" w:rsidR="00902711" w:rsidRDefault="00902711" w:rsidP="00902711">
      <w:pPr>
        <w:spacing w:after="0" w:line="240" w:lineRule="auto"/>
        <w:ind w:left="426"/>
        <w:jc w:val="both"/>
        <w:rPr>
          <w:rFonts w:ascii="Arial" w:eastAsia="Times New Roman" w:hAnsi="Arial" w:cs="Arial"/>
          <w:bCs/>
          <w:sz w:val="24"/>
          <w:szCs w:val="24"/>
        </w:rPr>
      </w:pPr>
    </w:p>
    <w:p w14:paraId="05D4DB72" w14:textId="06B67410" w:rsidR="00902711" w:rsidRPr="00902711" w:rsidRDefault="00902711" w:rsidP="00902711">
      <w:pPr>
        <w:spacing w:after="0" w:line="240" w:lineRule="auto"/>
        <w:ind w:left="426"/>
        <w:jc w:val="both"/>
        <w:rPr>
          <w:rFonts w:ascii="Arial" w:eastAsia="Times New Roman" w:hAnsi="Arial" w:cs="Arial"/>
          <w:bCs/>
          <w:sz w:val="24"/>
          <w:szCs w:val="24"/>
        </w:rPr>
      </w:pPr>
      <w:r w:rsidRPr="00902711">
        <w:rPr>
          <w:rFonts w:ascii="Arial" w:eastAsia="Times New Roman" w:hAnsi="Arial" w:cs="Arial"/>
          <w:bCs/>
          <w:sz w:val="24"/>
          <w:szCs w:val="24"/>
        </w:rPr>
        <w:t>If only a small number of packs are needed</w:t>
      </w:r>
      <w:r w:rsidR="00916829">
        <w:rPr>
          <w:rFonts w:ascii="Arial" w:eastAsia="Times New Roman" w:hAnsi="Arial" w:cs="Arial"/>
          <w:bCs/>
          <w:sz w:val="24"/>
          <w:szCs w:val="24"/>
        </w:rPr>
        <w:t xml:space="preserve">, the minimum order volume is 10 </w:t>
      </w:r>
      <w:r w:rsidRPr="00902711">
        <w:rPr>
          <w:rFonts w:ascii="Arial" w:eastAsia="Times New Roman" w:hAnsi="Arial" w:cs="Arial"/>
          <w:bCs/>
          <w:sz w:val="24"/>
          <w:szCs w:val="24"/>
        </w:rPr>
        <w:t xml:space="preserve">packs. </w:t>
      </w:r>
    </w:p>
    <w:p w14:paraId="51F35830" w14:textId="77777777" w:rsidR="00902711" w:rsidRPr="00902711" w:rsidRDefault="00902711" w:rsidP="00902711">
      <w:pPr>
        <w:spacing w:after="0" w:line="240" w:lineRule="auto"/>
        <w:ind w:left="426"/>
        <w:jc w:val="both"/>
        <w:rPr>
          <w:rFonts w:ascii="Arial" w:eastAsia="Times New Roman" w:hAnsi="Arial" w:cs="Arial"/>
          <w:bCs/>
          <w:sz w:val="24"/>
          <w:szCs w:val="24"/>
        </w:rPr>
      </w:pPr>
    </w:p>
    <w:p w14:paraId="2EFC4F1E" w14:textId="77777777" w:rsidR="00FB4262" w:rsidRPr="00902711" w:rsidRDefault="00FB4262" w:rsidP="00902711">
      <w:pPr>
        <w:spacing w:after="0" w:line="240" w:lineRule="auto"/>
        <w:ind w:left="426"/>
        <w:jc w:val="both"/>
        <w:rPr>
          <w:rFonts w:ascii="Arial" w:eastAsia="Times New Roman" w:hAnsi="Arial" w:cs="Arial"/>
          <w:bCs/>
          <w:sz w:val="24"/>
          <w:szCs w:val="24"/>
        </w:rPr>
      </w:pPr>
    </w:p>
    <w:p w14:paraId="5471728D" w14:textId="76C63273" w:rsidR="00E078E7" w:rsidRPr="005B5DBD" w:rsidRDefault="0095265E" w:rsidP="005B5DBD">
      <w:pPr>
        <w:spacing w:after="0" w:line="240" w:lineRule="auto"/>
        <w:jc w:val="both"/>
        <w:rPr>
          <w:rFonts w:ascii="Arial" w:eastAsia="Times New Roman" w:hAnsi="Arial" w:cs="Arial"/>
          <w:b/>
          <w:sz w:val="24"/>
          <w:szCs w:val="24"/>
        </w:rPr>
      </w:pPr>
      <w:r>
        <w:rPr>
          <w:rFonts w:ascii="Arial" w:eastAsia="Times New Roman" w:hAnsi="Arial" w:cs="Arial"/>
          <w:b/>
          <w:sz w:val="24"/>
          <w:szCs w:val="24"/>
        </w:rPr>
        <w:t>14.  Is there</w:t>
      </w:r>
      <w:r w:rsidR="002F67CF" w:rsidRPr="005B5DBD">
        <w:rPr>
          <w:rFonts w:ascii="Arial" w:eastAsia="Times New Roman" w:hAnsi="Arial" w:cs="Arial"/>
          <w:b/>
          <w:sz w:val="24"/>
          <w:szCs w:val="24"/>
        </w:rPr>
        <w:t xml:space="preserve"> a national PGD like PrEP, if so, where </w:t>
      </w:r>
      <w:r w:rsidR="00E078E7" w:rsidRPr="005B5DBD">
        <w:rPr>
          <w:rFonts w:ascii="Arial" w:eastAsia="Times New Roman" w:hAnsi="Arial" w:cs="Arial"/>
          <w:b/>
          <w:sz w:val="24"/>
          <w:szCs w:val="24"/>
        </w:rPr>
        <w:t xml:space="preserve">can I access </w:t>
      </w:r>
      <w:r w:rsidR="002F67CF" w:rsidRPr="005B5DBD">
        <w:rPr>
          <w:rFonts w:ascii="Arial" w:eastAsia="Times New Roman" w:hAnsi="Arial" w:cs="Arial"/>
          <w:b/>
          <w:sz w:val="24"/>
          <w:szCs w:val="24"/>
        </w:rPr>
        <w:t>this</w:t>
      </w:r>
      <w:r w:rsidR="00E078E7" w:rsidRPr="005B5DBD">
        <w:rPr>
          <w:rFonts w:ascii="Arial" w:eastAsia="Times New Roman" w:hAnsi="Arial" w:cs="Arial"/>
          <w:b/>
          <w:sz w:val="24"/>
          <w:szCs w:val="24"/>
        </w:rPr>
        <w:t>?</w:t>
      </w:r>
    </w:p>
    <w:p w14:paraId="4ADF1D60" w14:textId="6F4D28FF" w:rsidR="00E078E7" w:rsidRDefault="0095265E" w:rsidP="005B5DBD">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 </w:t>
      </w:r>
    </w:p>
    <w:p w14:paraId="5F0E7374" w14:textId="724BC793" w:rsidR="0095265E" w:rsidRDefault="0095265E" w:rsidP="0095265E">
      <w:pPr>
        <w:spacing w:after="0" w:line="240" w:lineRule="auto"/>
        <w:ind w:left="567"/>
        <w:jc w:val="both"/>
        <w:rPr>
          <w:rFonts w:ascii="Arial" w:eastAsia="Times New Roman" w:hAnsi="Arial" w:cs="Arial"/>
          <w:bCs/>
          <w:sz w:val="24"/>
          <w:szCs w:val="24"/>
        </w:rPr>
      </w:pPr>
      <w:r w:rsidRPr="0095265E">
        <w:rPr>
          <w:rFonts w:ascii="Arial" w:eastAsia="Times New Roman" w:hAnsi="Arial" w:cs="Arial"/>
          <w:bCs/>
          <w:sz w:val="24"/>
          <w:szCs w:val="24"/>
        </w:rPr>
        <w:t xml:space="preserve">Yes, </w:t>
      </w:r>
      <w:r w:rsidR="00E8050E">
        <w:rPr>
          <w:rFonts w:ascii="Arial" w:eastAsia="Times New Roman" w:hAnsi="Arial" w:cs="Arial"/>
          <w:bCs/>
          <w:sz w:val="24"/>
          <w:szCs w:val="24"/>
        </w:rPr>
        <w:t>the PGD can be found here:</w:t>
      </w:r>
    </w:p>
    <w:p w14:paraId="60344E1B" w14:textId="77777777" w:rsidR="00E8050E" w:rsidRPr="0095265E" w:rsidRDefault="00E8050E" w:rsidP="0095265E">
      <w:pPr>
        <w:spacing w:after="0" w:line="240" w:lineRule="auto"/>
        <w:ind w:left="567"/>
        <w:jc w:val="both"/>
        <w:rPr>
          <w:rFonts w:ascii="Arial" w:eastAsia="Times New Roman" w:hAnsi="Arial" w:cs="Arial"/>
          <w:bCs/>
          <w:color w:val="4472C4" w:themeColor="accent1"/>
          <w:sz w:val="24"/>
          <w:szCs w:val="24"/>
        </w:rPr>
      </w:pPr>
    </w:p>
    <w:p w14:paraId="1869685F" w14:textId="59BA78C8" w:rsidR="007A2FB6" w:rsidRDefault="00606E8F" w:rsidP="007952C0">
      <w:pPr>
        <w:spacing w:after="0" w:line="240" w:lineRule="auto"/>
        <w:ind w:left="567"/>
        <w:jc w:val="both"/>
        <w:rPr>
          <w:rFonts w:ascii="Arial" w:eastAsia="Times New Roman" w:hAnsi="Arial" w:cs="Arial"/>
          <w:b/>
          <w:color w:val="002060"/>
          <w:sz w:val="24"/>
          <w:szCs w:val="24"/>
        </w:rPr>
      </w:pPr>
      <w:hyperlink r:id="rId11" w:history="1">
        <w:r w:rsidR="007952C0" w:rsidRPr="00B024AC">
          <w:rPr>
            <w:rStyle w:val="Hyperlink"/>
            <w:rFonts w:ascii="Arial" w:eastAsia="Times New Roman" w:hAnsi="Arial" w:cs="Arial"/>
            <w:b/>
            <w:sz w:val="24"/>
            <w:szCs w:val="24"/>
          </w:rPr>
          <w:t>https://www.sps.nhs.uk/articles/supply-of-emtricitabine-tenofovir-disoproxil-and-raltegravir-tablets-for-hiv-post-exposure-prophylaxis-hiv-pep-pgd-template/</w:t>
        </w:r>
      </w:hyperlink>
    </w:p>
    <w:p w14:paraId="0A78B8B7" w14:textId="77777777" w:rsidR="007952C0" w:rsidRDefault="007952C0" w:rsidP="007952C0">
      <w:pPr>
        <w:spacing w:after="0" w:line="240" w:lineRule="auto"/>
        <w:ind w:left="567"/>
        <w:jc w:val="both"/>
        <w:rPr>
          <w:rFonts w:ascii="Arial" w:eastAsia="Times New Roman" w:hAnsi="Arial" w:cs="Arial"/>
          <w:b/>
          <w:color w:val="002060"/>
          <w:sz w:val="24"/>
          <w:szCs w:val="24"/>
        </w:rPr>
      </w:pPr>
    </w:p>
    <w:p w14:paraId="47CD13A6" w14:textId="77777777" w:rsidR="007952C0" w:rsidRPr="005A06AA" w:rsidRDefault="007952C0" w:rsidP="005B5DBD">
      <w:pPr>
        <w:spacing w:after="0" w:line="240" w:lineRule="auto"/>
        <w:jc w:val="both"/>
        <w:rPr>
          <w:rFonts w:ascii="Arial" w:eastAsia="Times New Roman" w:hAnsi="Arial" w:cs="Arial"/>
          <w:b/>
          <w:color w:val="002060"/>
          <w:sz w:val="24"/>
          <w:szCs w:val="24"/>
        </w:rPr>
      </w:pPr>
    </w:p>
    <w:p w14:paraId="03AABB2E" w14:textId="3CDBA9F3" w:rsidR="005B5DBD" w:rsidRPr="00902711" w:rsidRDefault="005B5DBD" w:rsidP="0095265E">
      <w:pPr>
        <w:spacing w:after="0" w:line="240" w:lineRule="auto"/>
        <w:ind w:left="567" w:hanging="567"/>
        <w:jc w:val="both"/>
        <w:rPr>
          <w:rFonts w:ascii="Arial" w:eastAsia="Times New Roman" w:hAnsi="Arial" w:cs="Arial"/>
          <w:b/>
          <w:sz w:val="24"/>
          <w:szCs w:val="24"/>
        </w:rPr>
      </w:pPr>
      <w:r w:rsidRPr="005B5DBD">
        <w:rPr>
          <w:rFonts w:ascii="Arial" w:eastAsia="Times New Roman" w:hAnsi="Arial" w:cs="Arial"/>
          <w:b/>
          <w:color w:val="002060"/>
          <w:sz w:val="24"/>
          <w:szCs w:val="24"/>
        </w:rPr>
        <w:t xml:space="preserve"> </w:t>
      </w:r>
      <w:r w:rsidR="0095265E" w:rsidRPr="0095265E">
        <w:rPr>
          <w:rFonts w:ascii="Arial" w:eastAsia="Times New Roman" w:hAnsi="Arial" w:cs="Arial"/>
          <w:b/>
          <w:sz w:val="24"/>
          <w:szCs w:val="24"/>
        </w:rPr>
        <w:t>15.</w:t>
      </w:r>
      <w:r w:rsidR="0095265E">
        <w:rPr>
          <w:rFonts w:ascii="Arial" w:eastAsia="Times New Roman" w:hAnsi="Arial" w:cs="Arial"/>
          <w:b/>
          <w:color w:val="002060"/>
          <w:sz w:val="24"/>
          <w:szCs w:val="24"/>
        </w:rPr>
        <w:tab/>
      </w:r>
      <w:r w:rsidRPr="00902711">
        <w:rPr>
          <w:rFonts w:ascii="Arial" w:eastAsia="Times New Roman" w:hAnsi="Arial" w:cs="Arial"/>
          <w:b/>
          <w:sz w:val="24"/>
          <w:szCs w:val="24"/>
        </w:rPr>
        <w:t>Our service usually submits data via the DrPLM for reimbursement, do we need to continue now that the packs are being provided free of charge?</w:t>
      </w:r>
    </w:p>
    <w:p w14:paraId="47DB97D2" w14:textId="77777777" w:rsidR="005B5DBD" w:rsidRPr="005B5DBD" w:rsidRDefault="005B5DBD" w:rsidP="005B5DBD">
      <w:pPr>
        <w:spacing w:after="0" w:line="240" w:lineRule="auto"/>
        <w:ind w:left="284" w:hanging="284"/>
        <w:jc w:val="both"/>
        <w:rPr>
          <w:rFonts w:ascii="Arial" w:eastAsia="Times New Roman" w:hAnsi="Arial" w:cs="Arial"/>
          <w:b/>
          <w:sz w:val="24"/>
          <w:szCs w:val="24"/>
          <w:highlight w:val="yellow"/>
        </w:rPr>
      </w:pPr>
    </w:p>
    <w:p w14:paraId="0D3D01FF" w14:textId="2A840872" w:rsidR="00556797" w:rsidRPr="00902711" w:rsidRDefault="00902711" w:rsidP="00902711">
      <w:pPr>
        <w:spacing w:after="0" w:line="240" w:lineRule="auto"/>
        <w:ind w:left="567"/>
        <w:jc w:val="both"/>
        <w:rPr>
          <w:rFonts w:ascii="Arial" w:hAnsi="Arial" w:cs="Arial"/>
          <w:color w:val="000000"/>
          <w:sz w:val="24"/>
          <w:szCs w:val="24"/>
        </w:rPr>
      </w:pPr>
      <w:r w:rsidRPr="00902711">
        <w:rPr>
          <w:rFonts w:ascii="Arial" w:hAnsi="Arial" w:cs="Arial"/>
          <w:color w:val="000000"/>
          <w:sz w:val="24"/>
          <w:szCs w:val="24"/>
        </w:rPr>
        <w:t xml:space="preserve">Data will need to be provided either through DrPLM or GUMCAD. Further details </w:t>
      </w:r>
      <w:r>
        <w:rPr>
          <w:rFonts w:ascii="Arial" w:hAnsi="Arial" w:cs="Arial"/>
          <w:color w:val="000000"/>
          <w:sz w:val="24"/>
          <w:szCs w:val="24"/>
        </w:rPr>
        <w:t xml:space="preserve">on this requirement will be provided in the next few </w:t>
      </w:r>
      <w:r w:rsidR="00F01DE6">
        <w:rPr>
          <w:rFonts w:ascii="Arial" w:hAnsi="Arial" w:cs="Arial"/>
          <w:color w:val="000000"/>
          <w:sz w:val="24"/>
          <w:szCs w:val="24"/>
        </w:rPr>
        <w:t>weeks.</w:t>
      </w:r>
    </w:p>
    <w:p w14:paraId="387BFA61" w14:textId="0741402C" w:rsidR="00556797" w:rsidRPr="00902711" w:rsidRDefault="00556797" w:rsidP="00902711">
      <w:pPr>
        <w:spacing w:after="0" w:line="240" w:lineRule="auto"/>
        <w:ind w:left="567"/>
        <w:jc w:val="both"/>
        <w:rPr>
          <w:rFonts w:ascii="Calibri" w:hAnsi="Calibri" w:cs="Calibri"/>
          <w:color w:val="000000"/>
          <w:sz w:val="24"/>
          <w:szCs w:val="24"/>
        </w:rPr>
      </w:pPr>
    </w:p>
    <w:sectPr w:rsidR="00556797" w:rsidRPr="00902711" w:rsidSect="00A032AA">
      <w:headerReference w:type="default" r:id="rId12"/>
      <w:footerReference w:type="default" r:id="rId13"/>
      <w:type w:val="continuous"/>
      <w:pgSz w:w="11906" w:h="16838"/>
      <w:pgMar w:top="726" w:right="1440" w:bottom="1440"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0A9C6" w14:textId="77777777" w:rsidR="00606E8F" w:rsidRDefault="00606E8F" w:rsidP="00C71717">
      <w:pPr>
        <w:spacing w:after="0" w:line="240" w:lineRule="auto"/>
      </w:pPr>
      <w:r>
        <w:separator/>
      </w:r>
    </w:p>
  </w:endnote>
  <w:endnote w:type="continuationSeparator" w:id="0">
    <w:p w14:paraId="558B5834" w14:textId="77777777" w:rsidR="00606E8F" w:rsidRDefault="00606E8F" w:rsidP="00C7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264007"/>
      <w:docPartObj>
        <w:docPartGallery w:val="Page Numbers (Bottom of Page)"/>
        <w:docPartUnique/>
      </w:docPartObj>
    </w:sdtPr>
    <w:sdtEndPr>
      <w:rPr>
        <w:color w:val="7F7F7F" w:themeColor="background1" w:themeShade="7F"/>
        <w:spacing w:val="60"/>
      </w:rPr>
    </w:sdtEndPr>
    <w:sdtContent>
      <w:p w14:paraId="7AD8BCAA" w14:textId="57A39754" w:rsidR="00C71717" w:rsidRDefault="00C7171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14F9">
          <w:rPr>
            <w:noProof/>
          </w:rPr>
          <w:t>1</w:t>
        </w:r>
        <w:r>
          <w:rPr>
            <w:noProof/>
          </w:rPr>
          <w:fldChar w:fldCharType="end"/>
        </w:r>
      </w:p>
    </w:sdtContent>
  </w:sdt>
  <w:p w14:paraId="67CAC50F" w14:textId="77777777" w:rsidR="00C71717" w:rsidRDefault="00C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931BE" w14:textId="77777777" w:rsidR="00606E8F" w:rsidRDefault="00606E8F" w:rsidP="00C71717">
      <w:pPr>
        <w:spacing w:after="0" w:line="240" w:lineRule="auto"/>
      </w:pPr>
      <w:bookmarkStart w:id="0" w:name="_Hlk90647188"/>
      <w:bookmarkEnd w:id="0"/>
      <w:r>
        <w:separator/>
      </w:r>
    </w:p>
  </w:footnote>
  <w:footnote w:type="continuationSeparator" w:id="0">
    <w:p w14:paraId="190CC2FF" w14:textId="77777777" w:rsidR="00606E8F" w:rsidRDefault="00606E8F" w:rsidP="00C71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945F" w14:textId="3E72023F" w:rsidR="005B5DBD" w:rsidRDefault="00A032AA" w:rsidP="00A032AA">
    <w:pPr>
      <w:pStyle w:val="Header"/>
      <w:ind w:left="8364"/>
    </w:pPr>
    <w:r w:rsidRPr="00DB62F7">
      <w:rPr>
        <w:noProof/>
        <w:lang w:eastAsia="en-GB"/>
      </w:rPr>
      <w:drawing>
        <wp:inline distT="0" distB="0" distL="0" distR="0" wp14:anchorId="2BEB5F26" wp14:editId="7FAE0533">
          <wp:extent cx="923925" cy="704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F3EED2"/>
    <w:multiLevelType w:val="hybridMultilevel"/>
    <w:tmpl w:val="8C34445B"/>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207CF0"/>
    <w:multiLevelType w:val="hybridMultilevel"/>
    <w:tmpl w:val="89F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A3286"/>
    <w:multiLevelType w:val="hybridMultilevel"/>
    <w:tmpl w:val="CE32F1DC"/>
    <w:lvl w:ilvl="0" w:tplc="CF662D80">
      <w:start w:val="17"/>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BF5978"/>
    <w:multiLevelType w:val="hybridMultilevel"/>
    <w:tmpl w:val="5B449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B33F6"/>
    <w:multiLevelType w:val="hybridMultilevel"/>
    <w:tmpl w:val="266A0396"/>
    <w:lvl w:ilvl="0" w:tplc="08090001">
      <w:start w:val="1"/>
      <w:numFmt w:val="bullet"/>
      <w:lvlText w:val=""/>
      <w:lvlJc w:val="left"/>
      <w:pPr>
        <w:ind w:left="720" w:hanging="360"/>
      </w:pPr>
      <w:rPr>
        <w:rFonts w:ascii="Symbol" w:hAnsi="Symbol" w:hint="default"/>
      </w:rPr>
    </w:lvl>
    <w:lvl w:ilvl="1" w:tplc="014E5E22">
      <w:start w:val="1"/>
      <w:numFmt w:val="lowerLetter"/>
      <w:lvlText w:val="%2."/>
      <w:lvlJc w:val="left"/>
      <w:pPr>
        <w:ind w:left="1440" w:hanging="360"/>
      </w:pPr>
      <w:rPr>
        <w:rFonts w:asciiTheme="minorHAnsi" w:eastAsiaTheme="minorHAnsi" w:hAnsiTheme="minorHAnsi" w:cstheme="minorBid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D153F"/>
    <w:multiLevelType w:val="hybridMultilevel"/>
    <w:tmpl w:val="F7004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60E1B"/>
    <w:multiLevelType w:val="hybridMultilevel"/>
    <w:tmpl w:val="CAFE0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03022D"/>
    <w:multiLevelType w:val="hybridMultilevel"/>
    <w:tmpl w:val="6734D41A"/>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8D759B"/>
    <w:multiLevelType w:val="hybridMultilevel"/>
    <w:tmpl w:val="3670B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5907EB"/>
    <w:multiLevelType w:val="hybridMultilevel"/>
    <w:tmpl w:val="D486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00F53"/>
    <w:multiLevelType w:val="hybridMultilevel"/>
    <w:tmpl w:val="3CEEF644"/>
    <w:lvl w:ilvl="0" w:tplc="05EA42F6">
      <w:start w:val="1"/>
      <w:numFmt w:val="decimal"/>
      <w:lvlText w:val="%1."/>
      <w:lvlJc w:val="left"/>
      <w:pPr>
        <w:ind w:left="720" w:hanging="360"/>
      </w:pPr>
      <w:rPr>
        <w:rFonts w:asciiTheme="minorHAnsi" w:hAnsiTheme="minorHAnsi" w:cstheme="minorBidi"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1D7A9E"/>
    <w:multiLevelType w:val="hybridMultilevel"/>
    <w:tmpl w:val="75301026"/>
    <w:lvl w:ilvl="0" w:tplc="08090015">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8F81BCB"/>
    <w:multiLevelType w:val="hybridMultilevel"/>
    <w:tmpl w:val="1D468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050C39"/>
    <w:multiLevelType w:val="hybridMultilevel"/>
    <w:tmpl w:val="426C9D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D3C4ACD"/>
    <w:multiLevelType w:val="hybridMultilevel"/>
    <w:tmpl w:val="7504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F5C31"/>
    <w:multiLevelType w:val="hybridMultilevel"/>
    <w:tmpl w:val="81CA8D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564FB7"/>
    <w:multiLevelType w:val="hybridMultilevel"/>
    <w:tmpl w:val="B51A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52FCF"/>
    <w:multiLevelType w:val="hybridMultilevel"/>
    <w:tmpl w:val="0296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C7FA6"/>
    <w:multiLevelType w:val="hybridMultilevel"/>
    <w:tmpl w:val="FF2AB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B353D0"/>
    <w:multiLevelType w:val="hybridMultilevel"/>
    <w:tmpl w:val="4B74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E4A21"/>
    <w:multiLevelType w:val="hybridMultilevel"/>
    <w:tmpl w:val="4C36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F7011A"/>
    <w:multiLevelType w:val="hybridMultilevel"/>
    <w:tmpl w:val="D166AE8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5F7E2A"/>
    <w:multiLevelType w:val="hybridMultilevel"/>
    <w:tmpl w:val="A9406E5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6C5513"/>
    <w:multiLevelType w:val="hybridMultilevel"/>
    <w:tmpl w:val="3DCC0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76169F"/>
    <w:multiLevelType w:val="hybridMultilevel"/>
    <w:tmpl w:val="D166AE8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9D7FDF"/>
    <w:multiLevelType w:val="hybridMultilevel"/>
    <w:tmpl w:val="A002EC54"/>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F653C8"/>
    <w:multiLevelType w:val="hybridMultilevel"/>
    <w:tmpl w:val="ACEC7A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12D24AB"/>
    <w:multiLevelType w:val="hybridMultilevel"/>
    <w:tmpl w:val="BC6634B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16468A"/>
    <w:multiLevelType w:val="hybridMultilevel"/>
    <w:tmpl w:val="7CD20310"/>
    <w:lvl w:ilvl="0" w:tplc="4AC03C8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665A3E"/>
    <w:multiLevelType w:val="hybridMultilevel"/>
    <w:tmpl w:val="B448A9AE"/>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0C3318"/>
    <w:multiLevelType w:val="hybridMultilevel"/>
    <w:tmpl w:val="6DDE3CD8"/>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BC27A3"/>
    <w:multiLevelType w:val="hybridMultilevel"/>
    <w:tmpl w:val="A60C9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5F1B39"/>
    <w:multiLevelType w:val="hybridMultilevel"/>
    <w:tmpl w:val="BC6634B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7373C1"/>
    <w:multiLevelType w:val="hybridMultilevel"/>
    <w:tmpl w:val="F5F8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BC724C"/>
    <w:multiLevelType w:val="hybridMultilevel"/>
    <w:tmpl w:val="CBD4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A174C9"/>
    <w:multiLevelType w:val="hybridMultilevel"/>
    <w:tmpl w:val="33E2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F3B9E"/>
    <w:multiLevelType w:val="hybridMultilevel"/>
    <w:tmpl w:val="902C6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53C40"/>
    <w:multiLevelType w:val="hybridMultilevel"/>
    <w:tmpl w:val="23DE4B4A"/>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515450"/>
    <w:multiLevelType w:val="hybridMultilevel"/>
    <w:tmpl w:val="C0900640"/>
    <w:lvl w:ilvl="0" w:tplc="E20A1B82">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69DC57FB"/>
    <w:multiLevelType w:val="hybridMultilevel"/>
    <w:tmpl w:val="1EE21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6A04CA"/>
    <w:multiLevelType w:val="hybridMultilevel"/>
    <w:tmpl w:val="C3C60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B0E0A79"/>
    <w:multiLevelType w:val="hybridMultilevel"/>
    <w:tmpl w:val="D6CA9086"/>
    <w:lvl w:ilvl="0" w:tplc="4B0EBD5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D795641"/>
    <w:multiLevelType w:val="hybridMultilevel"/>
    <w:tmpl w:val="EACA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8"/>
  </w:num>
  <w:num w:numId="5">
    <w:abstractNumId w:val="13"/>
  </w:num>
  <w:num w:numId="6">
    <w:abstractNumId w:val="1"/>
  </w:num>
  <w:num w:numId="7">
    <w:abstractNumId w:val="19"/>
  </w:num>
  <w:num w:numId="8">
    <w:abstractNumId w:val="42"/>
  </w:num>
  <w:num w:numId="9">
    <w:abstractNumId w:val="4"/>
  </w:num>
  <w:num w:numId="10">
    <w:abstractNumId w:val="17"/>
  </w:num>
  <w:num w:numId="11">
    <w:abstractNumId w:val="6"/>
  </w:num>
  <w:num w:numId="12">
    <w:abstractNumId w:val="26"/>
  </w:num>
  <w:num w:numId="13">
    <w:abstractNumId w:val="33"/>
  </w:num>
  <w:num w:numId="14">
    <w:abstractNumId w:val="20"/>
  </w:num>
  <w:num w:numId="15">
    <w:abstractNumId w:val="35"/>
  </w:num>
  <w:num w:numId="16">
    <w:abstractNumId w:val="12"/>
  </w:num>
  <w:num w:numId="17">
    <w:abstractNumId w:val="9"/>
  </w:num>
  <w:num w:numId="18">
    <w:abstractNumId w:val="31"/>
  </w:num>
  <w:num w:numId="19">
    <w:abstractNumId w:val="16"/>
  </w:num>
  <w:num w:numId="20">
    <w:abstractNumId w:val="28"/>
  </w:num>
  <w:num w:numId="21">
    <w:abstractNumId w:val="30"/>
  </w:num>
  <w:num w:numId="22">
    <w:abstractNumId w:val="25"/>
  </w:num>
  <w:num w:numId="23">
    <w:abstractNumId w:val="29"/>
  </w:num>
  <w:num w:numId="24">
    <w:abstractNumId w:val="23"/>
  </w:num>
  <w:num w:numId="25">
    <w:abstractNumId w:val="39"/>
  </w:num>
  <w:num w:numId="26">
    <w:abstractNumId w:val="5"/>
  </w:num>
  <w:num w:numId="27">
    <w:abstractNumId w:val="3"/>
  </w:num>
  <w:num w:numId="28">
    <w:abstractNumId w:val="7"/>
  </w:num>
  <w:num w:numId="29">
    <w:abstractNumId w:val="34"/>
  </w:num>
  <w:num w:numId="30">
    <w:abstractNumId w:val="14"/>
  </w:num>
  <w:num w:numId="31">
    <w:abstractNumId w:val="18"/>
  </w:num>
  <w:num w:numId="32">
    <w:abstractNumId w:val="0"/>
  </w:num>
  <w:num w:numId="33">
    <w:abstractNumId w:val="8"/>
  </w:num>
  <w:num w:numId="34">
    <w:abstractNumId w:val="10"/>
  </w:num>
  <w:num w:numId="35">
    <w:abstractNumId w:val="24"/>
  </w:num>
  <w:num w:numId="36">
    <w:abstractNumId w:val="32"/>
  </w:num>
  <w:num w:numId="37">
    <w:abstractNumId w:val="27"/>
  </w:num>
  <w:num w:numId="38">
    <w:abstractNumId w:val="21"/>
  </w:num>
  <w:num w:numId="39">
    <w:abstractNumId w:val="11"/>
  </w:num>
  <w:num w:numId="40">
    <w:abstractNumId w:val="2"/>
  </w:num>
  <w:num w:numId="41">
    <w:abstractNumId w:val="37"/>
  </w:num>
  <w:num w:numId="42">
    <w:abstractNumId w:val="15"/>
  </w:num>
  <w:num w:numId="43">
    <w:abstractNumId w:val="36"/>
  </w:num>
  <w:num w:numId="44">
    <w:abstractNumId w:val="22"/>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F5C"/>
    <w:rsid w:val="00005156"/>
    <w:rsid w:val="00007C16"/>
    <w:rsid w:val="000264E9"/>
    <w:rsid w:val="00063A22"/>
    <w:rsid w:val="000660F7"/>
    <w:rsid w:val="000700BC"/>
    <w:rsid w:val="00092F35"/>
    <w:rsid w:val="000A0553"/>
    <w:rsid w:val="000A5734"/>
    <w:rsid w:val="000B2FD5"/>
    <w:rsid w:val="000C3F44"/>
    <w:rsid w:val="000F27F4"/>
    <w:rsid w:val="001063CA"/>
    <w:rsid w:val="00107A9F"/>
    <w:rsid w:val="00120AD3"/>
    <w:rsid w:val="00120D96"/>
    <w:rsid w:val="00134884"/>
    <w:rsid w:val="001350F2"/>
    <w:rsid w:val="001416B7"/>
    <w:rsid w:val="00155979"/>
    <w:rsid w:val="00160187"/>
    <w:rsid w:val="001A5FF0"/>
    <w:rsid w:val="001B0494"/>
    <w:rsid w:val="001B1DA7"/>
    <w:rsid w:val="001B7608"/>
    <w:rsid w:val="001B79BF"/>
    <w:rsid w:val="00202E0A"/>
    <w:rsid w:val="00204368"/>
    <w:rsid w:val="00205881"/>
    <w:rsid w:val="002058C0"/>
    <w:rsid w:val="0021661C"/>
    <w:rsid w:val="0021736B"/>
    <w:rsid w:val="00251452"/>
    <w:rsid w:val="00263B60"/>
    <w:rsid w:val="00274C3D"/>
    <w:rsid w:val="00281EFD"/>
    <w:rsid w:val="00283258"/>
    <w:rsid w:val="00284A65"/>
    <w:rsid w:val="002A7234"/>
    <w:rsid w:val="002C5F37"/>
    <w:rsid w:val="002D13D3"/>
    <w:rsid w:val="002D21B3"/>
    <w:rsid w:val="002D6A7C"/>
    <w:rsid w:val="002F08E5"/>
    <w:rsid w:val="002F1524"/>
    <w:rsid w:val="002F2CC7"/>
    <w:rsid w:val="002F67CF"/>
    <w:rsid w:val="00301590"/>
    <w:rsid w:val="00315531"/>
    <w:rsid w:val="00325DF4"/>
    <w:rsid w:val="00337C8E"/>
    <w:rsid w:val="00353987"/>
    <w:rsid w:val="0036384C"/>
    <w:rsid w:val="00366A43"/>
    <w:rsid w:val="00374711"/>
    <w:rsid w:val="003A01E4"/>
    <w:rsid w:val="003A15D4"/>
    <w:rsid w:val="003B4DEA"/>
    <w:rsid w:val="003C122E"/>
    <w:rsid w:val="003C20F8"/>
    <w:rsid w:val="003D650B"/>
    <w:rsid w:val="003E24F4"/>
    <w:rsid w:val="003E7FC3"/>
    <w:rsid w:val="004045C1"/>
    <w:rsid w:val="00406F0C"/>
    <w:rsid w:val="0041001B"/>
    <w:rsid w:val="004145D2"/>
    <w:rsid w:val="004303A4"/>
    <w:rsid w:val="00431340"/>
    <w:rsid w:val="00453F04"/>
    <w:rsid w:val="00454365"/>
    <w:rsid w:val="00454ADB"/>
    <w:rsid w:val="00471701"/>
    <w:rsid w:val="004766C7"/>
    <w:rsid w:val="004778F3"/>
    <w:rsid w:val="00482CEF"/>
    <w:rsid w:val="004952B7"/>
    <w:rsid w:val="00496F08"/>
    <w:rsid w:val="004A1886"/>
    <w:rsid w:val="004B0370"/>
    <w:rsid w:val="004C017D"/>
    <w:rsid w:val="004C3B85"/>
    <w:rsid w:val="004C495C"/>
    <w:rsid w:val="004C5894"/>
    <w:rsid w:val="004D1638"/>
    <w:rsid w:val="004D7AFE"/>
    <w:rsid w:val="004E6E4B"/>
    <w:rsid w:val="004F016E"/>
    <w:rsid w:val="004F3F83"/>
    <w:rsid w:val="0050341D"/>
    <w:rsid w:val="00520EAE"/>
    <w:rsid w:val="00523FA6"/>
    <w:rsid w:val="00534067"/>
    <w:rsid w:val="00546409"/>
    <w:rsid w:val="0055602E"/>
    <w:rsid w:val="00556797"/>
    <w:rsid w:val="005808BA"/>
    <w:rsid w:val="00587D0C"/>
    <w:rsid w:val="005947AF"/>
    <w:rsid w:val="005A06AA"/>
    <w:rsid w:val="005A1A62"/>
    <w:rsid w:val="005B0A8D"/>
    <w:rsid w:val="005B35C8"/>
    <w:rsid w:val="005B5DBD"/>
    <w:rsid w:val="005F282F"/>
    <w:rsid w:val="005F6492"/>
    <w:rsid w:val="00601C06"/>
    <w:rsid w:val="00606E8F"/>
    <w:rsid w:val="00614CA0"/>
    <w:rsid w:val="00616476"/>
    <w:rsid w:val="00640413"/>
    <w:rsid w:val="00655D7C"/>
    <w:rsid w:val="0065751D"/>
    <w:rsid w:val="0067317D"/>
    <w:rsid w:val="00697242"/>
    <w:rsid w:val="006A4C42"/>
    <w:rsid w:val="006A4E0C"/>
    <w:rsid w:val="006B5D7F"/>
    <w:rsid w:val="006B6357"/>
    <w:rsid w:val="006F5799"/>
    <w:rsid w:val="007161B7"/>
    <w:rsid w:val="00717E5A"/>
    <w:rsid w:val="0072147E"/>
    <w:rsid w:val="007243CC"/>
    <w:rsid w:val="00727E90"/>
    <w:rsid w:val="00741C86"/>
    <w:rsid w:val="00750041"/>
    <w:rsid w:val="00752C07"/>
    <w:rsid w:val="0077453C"/>
    <w:rsid w:val="00786B55"/>
    <w:rsid w:val="007952C0"/>
    <w:rsid w:val="007A2FB6"/>
    <w:rsid w:val="007E55D8"/>
    <w:rsid w:val="007F50AB"/>
    <w:rsid w:val="00804B7B"/>
    <w:rsid w:val="008123F5"/>
    <w:rsid w:val="00812715"/>
    <w:rsid w:val="0081533A"/>
    <w:rsid w:val="0081705A"/>
    <w:rsid w:val="00836AFA"/>
    <w:rsid w:val="00842ED7"/>
    <w:rsid w:val="00847EDE"/>
    <w:rsid w:val="00865CF2"/>
    <w:rsid w:val="00885EFE"/>
    <w:rsid w:val="00891FB8"/>
    <w:rsid w:val="008B0373"/>
    <w:rsid w:val="008B2E25"/>
    <w:rsid w:val="008D0F5C"/>
    <w:rsid w:val="008D7CC6"/>
    <w:rsid w:val="008E02EF"/>
    <w:rsid w:val="008E09AC"/>
    <w:rsid w:val="008E4B11"/>
    <w:rsid w:val="008E76A0"/>
    <w:rsid w:val="008F7C86"/>
    <w:rsid w:val="00902711"/>
    <w:rsid w:val="00902E27"/>
    <w:rsid w:val="00912517"/>
    <w:rsid w:val="00913B72"/>
    <w:rsid w:val="00915A67"/>
    <w:rsid w:val="00915E1F"/>
    <w:rsid w:val="00916829"/>
    <w:rsid w:val="00922E37"/>
    <w:rsid w:val="00930C95"/>
    <w:rsid w:val="00930E1E"/>
    <w:rsid w:val="00934926"/>
    <w:rsid w:val="00941557"/>
    <w:rsid w:val="0094291D"/>
    <w:rsid w:val="0095265E"/>
    <w:rsid w:val="00957E36"/>
    <w:rsid w:val="00975133"/>
    <w:rsid w:val="00976334"/>
    <w:rsid w:val="00981BD7"/>
    <w:rsid w:val="009832AB"/>
    <w:rsid w:val="00983A8D"/>
    <w:rsid w:val="009843D6"/>
    <w:rsid w:val="00992B4C"/>
    <w:rsid w:val="009B4363"/>
    <w:rsid w:val="009C1C80"/>
    <w:rsid w:val="009D51FB"/>
    <w:rsid w:val="009E7AA7"/>
    <w:rsid w:val="009E7E14"/>
    <w:rsid w:val="009F347A"/>
    <w:rsid w:val="009F53FD"/>
    <w:rsid w:val="009F6D44"/>
    <w:rsid w:val="00A032AA"/>
    <w:rsid w:val="00A06280"/>
    <w:rsid w:val="00A06ABF"/>
    <w:rsid w:val="00A50299"/>
    <w:rsid w:val="00A74200"/>
    <w:rsid w:val="00A933D8"/>
    <w:rsid w:val="00AA54A5"/>
    <w:rsid w:val="00AB1BF2"/>
    <w:rsid w:val="00AB3283"/>
    <w:rsid w:val="00AC4162"/>
    <w:rsid w:val="00AC58D2"/>
    <w:rsid w:val="00AF16A4"/>
    <w:rsid w:val="00AF795E"/>
    <w:rsid w:val="00B00B62"/>
    <w:rsid w:val="00B219CE"/>
    <w:rsid w:val="00B25A24"/>
    <w:rsid w:val="00B37569"/>
    <w:rsid w:val="00B40939"/>
    <w:rsid w:val="00B416F2"/>
    <w:rsid w:val="00B41739"/>
    <w:rsid w:val="00B534A6"/>
    <w:rsid w:val="00B6249C"/>
    <w:rsid w:val="00B64D88"/>
    <w:rsid w:val="00B64FCB"/>
    <w:rsid w:val="00B70E69"/>
    <w:rsid w:val="00B74753"/>
    <w:rsid w:val="00B822C2"/>
    <w:rsid w:val="00B951C2"/>
    <w:rsid w:val="00B96934"/>
    <w:rsid w:val="00BA0A60"/>
    <w:rsid w:val="00BA5FF3"/>
    <w:rsid w:val="00BB0EB6"/>
    <w:rsid w:val="00BB3028"/>
    <w:rsid w:val="00BB5091"/>
    <w:rsid w:val="00BC5E95"/>
    <w:rsid w:val="00BD4B90"/>
    <w:rsid w:val="00C0141E"/>
    <w:rsid w:val="00C06F41"/>
    <w:rsid w:val="00C17205"/>
    <w:rsid w:val="00C40178"/>
    <w:rsid w:val="00C43D7A"/>
    <w:rsid w:val="00C47560"/>
    <w:rsid w:val="00C51DA6"/>
    <w:rsid w:val="00C71717"/>
    <w:rsid w:val="00C75DD6"/>
    <w:rsid w:val="00C9619B"/>
    <w:rsid w:val="00CA6C61"/>
    <w:rsid w:val="00D04A52"/>
    <w:rsid w:val="00D22C0D"/>
    <w:rsid w:val="00D450AB"/>
    <w:rsid w:val="00D75BE9"/>
    <w:rsid w:val="00D75DC0"/>
    <w:rsid w:val="00D82FA7"/>
    <w:rsid w:val="00D905A7"/>
    <w:rsid w:val="00D928A7"/>
    <w:rsid w:val="00D96F97"/>
    <w:rsid w:val="00DA709B"/>
    <w:rsid w:val="00DB12C4"/>
    <w:rsid w:val="00DC5942"/>
    <w:rsid w:val="00DC7EFF"/>
    <w:rsid w:val="00DD3E52"/>
    <w:rsid w:val="00DE5199"/>
    <w:rsid w:val="00DF6080"/>
    <w:rsid w:val="00E05C91"/>
    <w:rsid w:val="00E078E7"/>
    <w:rsid w:val="00E152BA"/>
    <w:rsid w:val="00E1653F"/>
    <w:rsid w:val="00E171E3"/>
    <w:rsid w:val="00E329ED"/>
    <w:rsid w:val="00E33E13"/>
    <w:rsid w:val="00E4022F"/>
    <w:rsid w:val="00E4660F"/>
    <w:rsid w:val="00E6040F"/>
    <w:rsid w:val="00E63C49"/>
    <w:rsid w:val="00E679AF"/>
    <w:rsid w:val="00E8050E"/>
    <w:rsid w:val="00E821AD"/>
    <w:rsid w:val="00ED5AAF"/>
    <w:rsid w:val="00EF3C08"/>
    <w:rsid w:val="00EF47B1"/>
    <w:rsid w:val="00F01DE6"/>
    <w:rsid w:val="00F05540"/>
    <w:rsid w:val="00F32604"/>
    <w:rsid w:val="00F47036"/>
    <w:rsid w:val="00F5720E"/>
    <w:rsid w:val="00F72BDC"/>
    <w:rsid w:val="00F766E3"/>
    <w:rsid w:val="00F7780F"/>
    <w:rsid w:val="00F80451"/>
    <w:rsid w:val="00F82234"/>
    <w:rsid w:val="00F92EC1"/>
    <w:rsid w:val="00F93016"/>
    <w:rsid w:val="00FA5A88"/>
    <w:rsid w:val="00FB02B3"/>
    <w:rsid w:val="00FB14F9"/>
    <w:rsid w:val="00FB15B6"/>
    <w:rsid w:val="00FB4262"/>
    <w:rsid w:val="00FB7E64"/>
    <w:rsid w:val="00FC5C32"/>
    <w:rsid w:val="00FD468C"/>
    <w:rsid w:val="00FE21DE"/>
    <w:rsid w:val="00FE70EC"/>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963E"/>
  <w15:chartTrackingRefBased/>
  <w15:docId w15:val="{21A8910B-4EA5-421C-BB0A-857B30AB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2C2"/>
    <w:pPr>
      <w:ind w:left="720"/>
      <w:contextualSpacing/>
    </w:pPr>
  </w:style>
  <w:style w:type="paragraph" w:styleId="Header">
    <w:name w:val="header"/>
    <w:basedOn w:val="Normal"/>
    <w:link w:val="HeaderChar"/>
    <w:uiPriority w:val="99"/>
    <w:unhideWhenUsed/>
    <w:rsid w:val="00C71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717"/>
  </w:style>
  <w:style w:type="paragraph" w:styleId="Footer">
    <w:name w:val="footer"/>
    <w:basedOn w:val="Normal"/>
    <w:link w:val="FooterChar"/>
    <w:uiPriority w:val="99"/>
    <w:unhideWhenUsed/>
    <w:rsid w:val="00C71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717"/>
  </w:style>
  <w:style w:type="character" w:styleId="Hyperlink">
    <w:name w:val="Hyperlink"/>
    <w:basedOn w:val="DefaultParagraphFont"/>
    <w:uiPriority w:val="99"/>
    <w:unhideWhenUsed/>
    <w:rsid w:val="00C47560"/>
    <w:rPr>
      <w:color w:val="0563C1" w:themeColor="hyperlink"/>
      <w:u w:val="single"/>
    </w:rPr>
  </w:style>
  <w:style w:type="character" w:customStyle="1" w:styleId="UnresolvedMention1">
    <w:name w:val="Unresolved Mention1"/>
    <w:basedOn w:val="DefaultParagraphFont"/>
    <w:uiPriority w:val="99"/>
    <w:semiHidden/>
    <w:unhideWhenUsed/>
    <w:rsid w:val="00C47560"/>
    <w:rPr>
      <w:color w:val="808080"/>
      <w:shd w:val="clear" w:color="auto" w:fill="E6E6E6"/>
    </w:rPr>
  </w:style>
  <w:style w:type="paragraph" w:customStyle="1" w:styleId="Default">
    <w:name w:val="Default"/>
    <w:rsid w:val="00D75BE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F1524"/>
    <w:rPr>
      <w:color w:val="954F72" w:themeColor="followedHyperlink"/>
      <w:u w:val="single"/>
    </w:rPr>
  </w:style>
  <w:style w:type="character" w:styleId="CommentReference">
    <w:name w:val="annotation reference"/>
    <w:basedOn w:val="DefaultParagraphFont"/>
    <w:uiPriority w:val="99"/>
    <w:semiHidden/>
    <w:unhideWhenUsed/>
    <w:rsid w:val="00263B60"/>
    <w:rPr>
      <w:sz w:val="16"/>
      <w:szCs w:val="16"/>
    </w:rPr>
  </w:style>
  <w:style w:type="paragraph" w:styleId="CommentText">
    <w:name w:val="annotation text"/>
    <w:basedOn w:val="Normal"/>
    <w:link w:val="CommentTextChar"/>
    <w:uiPriority w:val="99"/>
    <w:unhideWhenUsed/>
    <w:rsid w:val="00263B60"/>
    <w:pPr>
      <w:spacing w:line="240" w:lineRule="auto"/>
    </w:pPr>
    <w:rPr>
      <w:sz w:val="20"/>
      <w:szCs w:val="20"/>
    </w:rPr>
  </w:style>
  <w:style w:type="character" w:customStyle="1" w:styleId="CommentTextChar">
    <w:name w:val="Comment Text Char"/>
    <w:basedOn w:val="DefaultParagraphFont"/>
    <w:link w:val="CommentText"/>
    <w:uiPriority w:val="99"/>
    <w:rsid w:val="00263B60"/>
    <w:rPr>
      <w:sz w:val="20"/>
      <w:szCs w:val="20"/>
    </w:rPr>
  </w:style>
  <w:style w:type="paragraph" w:styleId="CommentSubject">
    <w:name w:val="annotation subject"/>
    <w:basedOn w:val="CommentText"/>
    <w:next w:val="CommentText"/>
    <w:link w:val="CommentSubjectChar"/>
    <w:uiPriority w:val="99"/>
    <w:semiHidden/>
    <w:unhideWhenUsed/>
    <w:rsid w:val="00263B60"/>
    <w:rPr>
      <w:b/>
      <w:bCs/>
    </w:rPr>
  </w:style>
  <w:style w:type="character" w:customStyle="1" w:styleId="CommentSubjectChar">
    <w:name w:val="Comment Subject Char"/>
    <w:basedOn w:val="CommentTextChar"/>
    <w:link w:val="CommentSubject"/>
    <w:uiPriority w:val="99"/>
    <w:semiHidden/>
    <w:rsid w:val="00263B60"/>
    <w:rPr>
      <w:b/>
      <w:bCs/>
      <w:sz w:val="20"/>
      <w:szCs w:val="20"/>
    </w:rPr>
  </w:style>
  <w:style w:type="paragraph" w:styleId="BalloonText">
    <w:name w:val="Balloon Text"/>
    <w:basedOn w:val="Normal"/>
    <w:link w:val="BalloonTextChar"/>
    <w:uiPriority w:val="99"/>
    <w:semiHidden/>
    <w:unhideWhenUsed/>
    <w:rsid w:val="00263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0"/>
    <w:rPr>
      <w:rFonts w:ascii="Segoe UI" w:hAnsi="Segoe UI" w:cs="Segoe UI"/>
      <w:sz w:val="18"/>
      <w:szCs w:val="18"/>
    </w:rPr>
  </w:style>
  <w:style w:type="table" w:styleId="TableGrid">
    <w:name w:val="Table Grid"/>
    <w:basedOn w:val="TableNormal"/>
    <w:uiPriority w:val="39"/>
    <w:rsid w:val="00D22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2234"/>
    <w:pPr>
      <w:spacing w:after="0" w:line="240" w:lineRule="auto"/>
    </w:pPr>
  </w:style>
  <w:style w:type="character" w:styleId="UnresolvedMention">
    <w:name w:val="Unresolved Mention"/>
    <w:basedOn w:val="DefaultParagraphFont"/>
    <w:uiPriority w:val="99"/>
    <w:semiHidden/>
    <w:unhideWhenUsed/>
    <w:rsid w:val="008B0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39644">
      <w:bodyDiv w:val="1"/>
      <w:marLeft w:val="0"/>
      <w:marRight w:val="0"/>
      <w:marTop w:val="0"/>
      <w:marBottom w:val="0"/>
      <w:divBdr>
        <w:top w:val="none" w:sz="0" w:space="0" w:color="auto"/>
        <w:left w:val="none" w:sz="0" w:space="0" w:color="auto"/>
        <w:bottom w:val="none" w:sz="0" w:space="0" w:color="auto"/>
        <w:right w:val="none" w:sz="0" w:space="0" w:color="auto"/>
      </w:divBdr>
    </w:div>
    <w:div w:id="261499511">
      <w:bodyDiv w:val="1"/>
      <w:marLeft w:val="0"/>
      <w:marRight w:val="0"/>
      <w:marTop w:val="0"/>
      <w:marBottom w:val="0"/>
      <w:divBdr>
        <w:top w:val="none" w:sz="0" w:space="0" w:color="auto"/>
        <w:left w:val="none" w:sz="0" w:space="0" w:color="auto"/>
        <w:bottom w:val="none" w:sz="0" w:space="0" w:color="auto"/>
        <w:right w:val="none" w:sz="0" w:space="0" w:color="auto"/>
      </w:divBdr>
    </w:div>
    <w:div w:id="318310193">
      <w:bodyDiv w:val="1"/>
      <w:marLeft w:val="0"/>
      <w:marRight w:val="0"/>
      <w:marTop w:val="0"/>
      <w:marBottom w:val="0"/>
      <w:divBdr>
        <w:top w:val="none" w:sz="0" w:space="0" w:color="auto"/>
        <w:left w:val="none" w:sz="0" w:space="0" w:color="auto"/>
        <w:bottom w:val="none" w:sz="0" w:space="0" w:color="auto"/>
        <w:right w:val="none" w:sz="0" w:space="0" w:color="auto"/>
      </w:divBdr>
    </w:div>
    <w:div w:id="507329512">
      <w:bodyDiv w:val="1"/>
      <w:marLeft w:val="0"/>
      <w:marRight w:val="0"/>
      <w:marTop w:val="0"/>
      <w:marBottom w:val="0"/>
      <w:divBdr>
        <w:top w:val="none" w:sz="0" w:space="0" w:color="auto"/>
        <w:left w:val="none" w:sz="0" w:space="0" w:color="auto"/>
        <w:bottom w:val="none" w:sz="0" w:space="0" w:color="auto"/>
        <w:right w:val="none" w:sz="0" w:space="0" w:color="auto"/>
      </w:divBdr>
    </w:div>
    <w:div w:id="736249679">
      <w:bodyDiv w:val="1"/>
      <w:marLeft w:val="0"/>
      <w:marRight w:val="0"/>
      <w:marTop w:val="0"/>
      <w:marBottom w:val="0"/>
      <w:divBdr>
        <w:top w:val="none" w:sz="0" w:space="0" w:color="auto"/>
        <w:left w:val="none" w:sz="0" w:space="0" w:color="auto"/>
        <w:bottom w:val="none" w:sz="0" w:space="0" w:color="auto"/>
        <w:right w:val="none" w:sz="0" w:space="0" w:color="auto"/>
      </w:divBdr>
    </w:div>
    <w:div w:id="876284084">
      <w:bodyDiv w:val="1"/>
      <w:marLeft w:val="0"/>
      <w:marRight w:val="0"/>
      <w:marTop w:val="0"/>
      <w:marBottom w:val="0"/>
      <w:divBdr>
        <w:top w:val="none" w:sz="0" w:space="0" w:color="auto"/>
        <w:left w:val="none" w:sz="0" w:space="0" w:color="auto"/>
        <w:bottom w:val="none" w:sz="0" w:space="0" w:color="auto"/>
        <w:right w:val="none" w:sz="0" w:space="0" w:color="auto"/>
      </w:divBdr>
    </w:div>
    <w:div w:id="1020473688">
      <w:bodyDiv w:val="1"/>
      <w:marLeft w:val="0"/>
      <w:marRight w:val="0"/>
      <w:marTop w:val="0"/>
      <w:marBottom w:val="0"/>
      <w:divBdr>
        <w:top w:val="none" w:sz="0" w:space="0" w:color="auto"/>
        <w:left w:val="none" w:sz="0" w:space="0" w:color="auto"/>
        <w:bottom w:val="none" w:sz="0" w:space="0" w:color="auto"/>
        <w:right w:val="none" w:sz="0" w:space="0" w:color="auto"/>
      </w:divBdr>
    </w:div>
    <w:div w:id="1207450075">
      <w:bodyDiv w:val="1"/>
      <w:marLeft w:val="0"/>
      <w:marRight w:val="0"/>
      <w:marTop w:val="0"/>
      <w:marBottom w:val="0"/>
      <w:divBdr>
        <w:top w:val="none" w:sz="0" w:space="0" w:color="auto"/>
        <w:left w:val="none" w:sz="0" w:space="0" w:color="auto"/>
        <w:bottom w:val="none" w:sz="0" w:space="0" w:color="auto"/>
        <w:right w:val="none" w:sz="0" w:space="0" w:color="auto"/>
      </w:divBdr>
    </w:div>
    <w:div w:id="1387994610">
      <w:bodyDiv w:val="1"/>
      <w:marLeft w:val="0"/>
      <w:marRight w:val="0"/>
      <w:marTop w:val="0"/>
      <w:marBottom w:val="0"/>
      <w:divBdr>
        <w:top w:val="none" w:sz="0" w:space="0" w:color="auto"/>
        <w:left w:val="none" w:sz="0" w:space="0" w:color="auto"/>
        <w:bottom w:val="none" w:sz="0" w:space="0" w:color="auto"/>
        <w:right w:val="none" w:sz="0" w:space="0" w:color="auto"/>
      </w:divBdr>
    </w:div>
    <w:div w:id="1926719524">
      <w:bodyDiv w:val="1"/>
      <w:marLeft w:val="0"/>
      <w:marRight w:val="0"/>
      <w:marTop w:val="0"/>
      <w:marBottom w:val="0"/>
      <w:divBdr>
        <w:top w:val="none" w:sz="0" w:space="0" w:color="auto"/>
        <w:left w:val="none" w:sz="0" w:space="0" w:color="auto"/>
        <w:bottom w:val="none" w:sz="0" w:space="0" w:color="auto"/>
        <w:right w:val="none" w:sz="0" w:space="0" w:color="auto"/>
      </w:divBdr>
    </w:div>
    <w:div w:id="2112048824">
      <w:bodyDiv w:val="1"/>
      <w:marLeft w:val="0"/>
      <w:marRight w:val="0"/>
      <w:marTop w:val="0"/>
      <w:marBottom w:val="0"/>
      <w:divBdr>
        <w:top w:val="none" w:sz="0" w:space="0" w:color="auto"/>
        <w:left w:val="none" w:sz="0" w:space="0" w:color="auto"/>
        <w:bottom w:val="none" w:sz="0" w:space="0" w:color="auto"/>
        <w:right w:val="none" w:sz="0" w:space="0" w:color="auto"/>
      </w:divBdr>
    </w:div>
    <w:div w:id="21381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hhguidelines.org/media/1289/pep-202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s.nhs.uk/articles/supply-of-emtricitabine-tenofovir-disoproxil-and-raltegravir-tablets-for-hiv-post-exposure-prophylaxis-hiv-pep-pgd-templ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verlabellingcustomerservices@mawdsleys.co.uk" TargetMode="External"/><Relationship Id="rId4" Type="http://schemas.openxmlformats.org/officeDocument/2006/relationships/settings" Target="settings.xml"/><Relationship Id="rId9" Type="http://schemas.openxmlformats.org/officeDocument/2006/relationships/hyperlink" Target="https://www.bhiva.org/file/6183b6aa93a4e/PEP-guideline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1C36-965F-C848-8B50-FF3A2FC2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Spowage</dc:creator>
  <cp:keywords/>
  <dc:description/>
  <cp:lastModifiedBy>Andrew Gilbey</cp:lastModifiedBy>
  <cp:revision>2</cp:revision>
  <cp:lastPrinted>2022-01-21T11:48:00Z</cp:lastPrinted>
  <dcterms:created xsi:type="dcterms:W3CDTF">2022-02-25T10:48:00Z</dcterms:created>
  <dcterms:modified xsi:type="dcterms:W3CDTF">2022-02-25T10:48:00Z</dcterms:modified>
</cp:coreProperties>
</file>